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A5FC9" w14:textId="77777777" w:rsidR="00B40F12" w:rsidRDefault="00D97422">
      <w:pPr>
        <w:widowControl/>
        <w:suppressAutoHyphens w:val="0"/>
        <w:spacing w:before="160"/>
        <w:rPr>
          <w:rFonts w:asciiTheme="majorHAnsi" w:hAnsiTheme="majorHAnsi" w:cs="Calibri"/>
          <w:b/>
          <w:sz w:val="32"/>
          <w:szCs w:val="32"/>
        </w:rPr>
      </w:pPr>
      <w:r>
        <w:rPr>
          <w:rFonts w:asciiTheme="majorHAnsi" w:hAnsiTheme="majorHAnsi" w:cs="Calibri"/>
          <w:b/>
          <w:sz w:val="32"/>
          <w:szCs w:val="32"/>
        </w:rPr>
        <w:t xml:space="preserve">Für eine menschenwürdige Flüchtlingspolitik in Berlin </w:t>
      </w:r>
      <w:r>
        <w:rPr>
          <w:rFonts w:asciiTheme="majorHAnsi" w:hAnsiTheme="majorHAnsi" w:cs="Calibri"/>
          <w:b/>
          <w:sz w:val="32"/>
          <w:szCs w:val="32"/>
        </w:rPr>
        <w:br/>
        <w:t>Forderungen an einen neuen Berliner Senat</w:t>
      </w:r>
      <w:r>
        <w:rPr>
          <w:rFonts w:asciiTheme="majorHAnsi" w:hAnsiTheme="majorHAnsi" w:cs="Calibri"/>
          <w:b/>
          <w:sz w:val="32"/>
          <w:szCs w:val="32"/>
        </w:rPr>
        <w:br/>
      </w:r>
    </w:p>
    <w:p w14:paraId="6FB96E38" w14:textId="77777777" w:rsidR="00B40F12" w:rsidRDefault="00D97422">
      <w:pPr>
        <w:pStyle w:val="berschrift2"/>
        <w:widowControl/>
        <w:numPr>
          <w:ilvl w:val="1"/>
          <w:numId w:val="2"/>
        </w:numPr>
        <w:spacing w:before="160"/>
        <w:rPr>
          <w:rFonts w:asciiTheme="majorHAnsi" w:hAnsiTheme="majorHAnsi"/>
        </w:rPr>
      </w:pPr>
      <w:bookmarkStart w:id="0" w:name="_Toc491599975"/>
      <w:r>
        <w:rPr>
          <w:rFonts w:asciiTheme="majorHAnsi" w:hAnsiTheme="majorHAnsi"/>
        </w:rPr>
        <w:t>Ausländerbehörde, Bleiberecht statt Abschiebungen</w:t>
      </w:r>
      <w:bookmarkEnd w:id="0"/>
      <w:r>
        <w:rPr>
          <w:rFonts w:asciiTheme="majorHAnsi" w:hAnsiTheme="majorHAnsi"/>
        </w:rPr>
        <w:t>, Flüchtlingsaufnahme</w:t>
      </w:r>
    </w:p>
    <w:p w14:paraId="37C65022" w14:textId="77777777" w:rsidR="00B40F12" w:rsidRDefault="00B40F12">
      <w:pPr>
        <w:widowControl/>
        <w:suppressAutoHyphens w:val="0"/>
        <w:spacing w:before="160"/>
        <w:rPr>
          <w:rFonts w:asciiTheme="majorHAnsi" w:hAnsiTheme="majorHAnsi"/>
          <w:sz w:val="16"/>
        </w:rPr>
      </w:pPr>
    </w:p>
    <w:p w14:paraId="4DFCF082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Ausländerbehörde </w:t>
      </w:r>
    </w:p>
    <w:p w14:paraId="7BA381FD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Die Zuständigkeit für das Landesamt für Einwanderung (LEA) und die </w:t>
      </w:r>
      <w:r>
        <w:rPr>
          <w:rFonts w:asciiTheme="majorHAnsi" w:hAnsiTheme="majorHAnsi"/>
          <w:sz w:val="22"/>
        </w:rPr>
        <w:t>Einbürgerungsbehörden ist vom Innensenator an die Integrationssenator*in zu übergeben.</w:t>
      </w:r>
    </w:p>
    <w:p w14:paraId="4ABED426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wieder eine fristgerechte Aufenthaltserteilung und -verlängerung sicherstellen. Zur A</w:t>
      </w:r>
      <w:r>
        <w:rPr>
          <w:rFonts w:asciiTheme="majorHAnsi" w:hAnsiTheme="majorHAnsi"/>
          <w:sz w:val="22"/>
        </w:rPr>
        <w:t>n</w:t>
      </w:r>
      <w:r>
        <w:rPr>
          <w:rFonts w:asciiTheme="majorHAnsi" w:hAnsiTheme="majorHAnsi"/>
          <w:sz w:val="22"/>
        </w:rPr>
        <w:t>tragstellung sind verstärkt Online-Verfahren zu entwickeln, auch für Ar</w:t>
      </w:r>
      <w:r>
        <w:rPr>
          <w:rFonts w:asciiTheme="majorHAnsi" w:hAnsiTheme="majorHAnsi"/>
          <w:sz w:val="22"/>
        </w:rPr>
        <w:t>beitserlaubnisanträge und die Änderung von Wohnsitzauflagen.</w:t>
      </w:r>
    </w:p>
    <w:p w14:paraId="15DD9EC8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Das LEA muss alle Möglichkeiten zur Legalisierung und Verbesserung des Aufenthaltsstatus ausz</w:t>
      </w:r>
      <w:r>
        <w:rPr>
          <w:rFonts w:asciiTheme="majorHAnsi" w:hAnsiTheme="majorHAnsi"/>
          <w:sz w:val="22"/>
        </w:rPr>
        <w:t>u</w:t>
      </w:r>
      <w:r>
        <w:rPr>
          <w:rFonts w:asciiTheme="majorHAnsi" w:hAnsiTheme="majorHAnsi"/>
          <w:sz w:val="22"/>
        </w:rPr>
        <w:t>schöpfen. Gegenüber potentiell Begünstigten muss eine Beratungs- und Hinweispflicht gelten. Pri</w:t>
      </w:r>
      <w:r>
        <w:rPr>
          <w:rFonts w:asciiTheme="majorHAnsi" w:hAnsiTheme="majorHAnsi"/>
          <w:sz w:val="22"/>
        </w:rPr>
        <w:t>o</w:t>
      </w:r>
      <w:r>
        <w:rPr>
          <w:rFonts w:asciiTheme="majorHAnsi" w:hAnsiTheme="majorHAnsi"/>
          <w:sz w:val="22"/>
        </w:rPr>
        <w:t>rität</w:t>
      </w:r>
      <w:r>
        <w:rPr>
          <w:rFonts w:asciiTheme="majorHAnsi" w:hAnsiTheme="majorHAnsi"/>
          <w:sz w:val="22"/>
        </w:rPr>
        <w:t xml:space="preserve"> ist auf Aufenthaltserteilung und -verlängerung statt auf Abschiebungen zu legen.</w:t>
      </w:r>
    </w:p>
    <w:p w14:paraId="7221247D" w14:textId="77777777" w:rsidR="00B40F12" w:rsidRDefault="00B40F12">
      <w:pPr>
        <w:widowControl/>
        <w:tabs>
          <w:tab w:val="center" w:pos="4896"/>
          <w:tab w:val="right" w:pos="9432"/>
        </w:tabs>
        <w:suppressAutoHyphens w:val="0"/>
        <w:spacing w:before="160"/>
        <w:rPr>
          <w:rFonts w:asciiTheme="majorHAnsi" w:hAnsiTheme="majorHAnsi"/>
          <w:sz w:val="22"/>
          <w:szCs w:val="22"/>
        </w:rPr>
      </w:pPr>
    </w:p>
    <w:p w14:paraId="7C81B456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1" w:name="_Toc491024247"/>
      <w:bookmarkEnd w:id="1"/>
      <w:r>
        <w:rPr>
          <w:rFonts w:asciiTheme="majorHAnsi" w:hAnsiTheme="majorHAnsi"/>
        </w:rPr>
        <w:t>Auf Abschiebungen möglichst verzichten</w:t>
      </w:r>
    </w:p>
    <w:p w14:paraId="16F03ADC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Abschiebungen in Staaten, in die eine Rückkehr nicht zumutbar ist, weil Unterkunft, Ernährung, G</w:t>
      </w:r>
      <w:r>
        <w:rPr>
          <w:rFonts w:asciiTheme="majorHAnsi" w:hAnsiTheme="majorHAnsi"/>
          <w:sz w:val="22"/>
        </w:rPr>
        <w:t>e</w:t>
      </w:r>
      <w:r>
        <w:rPr>
          <w:rFonts w:asciiTheme="majorHAnsi" w:hAnsiTheme="majorHAnsi"/>
          <w:sz w:val="22"/>
        </w:rPr>
        <w:t>sundheit oder die persönliche Sicherh</w:t>
      </w:r>
      <w:r>
        <w:rPr>
          <w:rFonts w:asciiTheme="majorHAnsi" w:hAnsiTheme="majorHAnsi"/>
          <w:sz w:val="22"/>
        </w:rPr>
        <w:t xml:space="preserve">eit nicht gewährleistet sind, darf es nicht mehr geben. </w:t>
      </w:r>
    </w:p>
    <w:p w14:paraId="190EC7E4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Rechtsschutz ist auch beim Vollzug von Abschiebungen sicherzustellen. Die Polizei muss auf die Wegnahme der Mobiltelefone verzichten und Betroffenen ermöglichen, sofort Angehörige und A</w:t>
      </w:r>
      <w:r>
        <w:rPr>
          <w:rFonts w:asciiTheme="majorHAnsi" w:hAnsiTheme="majorHAnsi"/>
          <w:sz w:val="22"/>
        </w:rPr>
        <w:t>n</w:t>
      </w:r>
      <w:r>
        <w:rPr>
          <w:rFonts w:asciiTheme="majorHAnsi" w:hAnsiTheme="majorHAnsi"/>
          <w:sz w:val="22"/>
        </w:rPr>
        <w:t>wält*innen zu</w:t>
      </w:r>
      <w:r>
        <w:rPr>
          <w:rFonts w:asciiTheme="majorHAnsi" w:hAnsiTheme="majorHAnsi"/>
          <w:sz w:val="22"/>
        </w:rPr>
        <w:t xml:space="preserve"> benachrichtigen. Der Verweis auf das Telefon der Bundespolizei am Flughafen ist pr</w:t>
      </w:r>
      <w:r>
        <w:rPr>
          <w:rFonts w:asciiTheme="majorHAnsi" w:hAnsiTheme="majorHAnsi"/>
          <w:sz w:val="22"/>
        </w:rPr>
        <w:t>a</w:t>
      </w:r>
      <w:r>
        <w:rPr>
          <w:rFonts w:asciiTheme="majorHAnsi" w:hAnsiTheme="majorHAnsi"/>
          <w:sz w:val="22"/>
        </w:rPr>
        <w:t>xisfern, weil zu spät, Betroffene sich Nummern nicht notieren und Nachrichtendienste wie SMS und Whatsapp nicht verfügbar sind.</w:t>
      </w:r>
    </w:p>
    <w:p w14:paraId="6717319E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auf die rechtswidrige Praxis der</w:t>
      </w:r>
      <w:r>
        <w:rPr>
          <w:rFonts w:asciiTheme="majorHAnsi" w:hAnsiTheme="majorHAnsi"/>
          <w:sz w:val="22"/>
        </w:rPr>
        <w:t xml:space="preserve"> Abschiebungen zur Nachtzeit verzichten. Berlin muss eine Kindeswohlgefährdung ausschließen und auf Gewalt gegen Kinder und Eltern verzichten.</w:t>
      </w:r>
    </w:p>
    <w:p w14:paraId="7FD778A6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Auf Familientrennungen bei Abschiebungen ist ausnahmslos zu verzichten, auch bei Straftaten, vo</w:t>
      </w:r>
      <w:r>
        <w:rPr>
          <w:rFonts w:asciiTheme="majorHAnsi" w:hAnsiTheme="majorHAnsi"/>
          <w:sz w:val="22"/>
        </w:rPr>
        <w:t>r</w:t>
      </w:r>
      <w:r>
        <w:rPr>
          <w:rFonts w:asciiTheme="majorHAnsi" w:hAnsiTheme="majorHAnsi"/>
          <w:sz w:val="22"/>
        </w:rPr>
        <w:t>herigen Abschiebe</w:t>
      </w:r>
      <w:r>
        <w:rPr>
          <w:rFonts w:asciiTheme="majorHAnsi" w:hAnsiTheme="majorHAnsi"/>
          <w:sz w:val="22"/>
        </w:rPr>
        <w:t>versuchen und Dublin-Abschiebungen.</w:t>
      </w:r>
    </w:p>
    <w:p w14:paraId="083C7AFC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Die Unschuldsvermutung ist bei allen ausländerrechtlichen Entscheidungen zu beachten. Straftaten sind durch die deutsche Strafjustiz zu verfolgen. Auf Ausweisungen als doppelte Bestrafung Nich</w:t>
      </w:r>
      <w:r>
        <w:rPr>
          <w:rFonts w:asciiTheme="majorHAnsi" w:hAnsiTheme="majorHAnsi"/>
          <w:sz w:val="22"/>
        </w:rPr>
        <w:t>t</w:t>
      </w:r>
      <w:r>
        <w:rPr>
          <w:rFonts w:asciiTheme="majorHAnsi" w:hAnsiTheme="majorHAnsi"/>
          <w:sz w:val="22"/>
        </w:rPr>
        <w:t xml:space="preserve">deutscher ist möglichst zu </w:t>
      </w:r>
      <w:r>
        <w:rPr>
          <w:rFonts w:asciiTheme="majorHAnsi" w:hAnsiTheme="majorHAnsi"/>
          <w:sz w:val="22"/>
        </w:rPr>
        <w:t>verzichten.</w:t>
      </w:r>
    </w:p>
    <w:p w14:paraId="1346C0A2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Die Abschiebebeobachtung ist personell und inhaltlich zu stärken. Die Beobachtung ist auch bei Festnahme, Zuführung, Einstieg und während des Flugs zu ermöglichen. Die Zuständigkeit ist auf "</w:t>
      </w:r>
      <w:r>
        <w:rPr>
          <w:rFonts w:asciiTheme="majorHAnsi" w:hAnsiTheme="majorHAnsi"/>
          <w:i/>
          <w:sz w:val="22"/>
        </w:rPr>
        <w:t>Zurückschiebungen</w:t>
      </w:r>
      <w:r>
        <w:rPr>
          <w:rFonts w:asciiTheme="majorHAnsi" w:hAnsiTheme="majorHAnsi"/>
          <w:sz w:val="22"/>
        </w:rPr>
        <w:t>" z.B. aus dem Flughafenasylverfahre</w:t>
      </w:r>
      <w:r>
        <w:rPr>
          <w:rFonts w:asciiTheme="majorHAnsi" w:hAnsiTheme="majorHAnsi"/>
          <w:sz w:val="22"/>
        </w:rPr>
        <w:t xml:space="preserve">n zu erweitern. Berichte sind halbjährlich zu veröffentlichen. </w:t>
      </w:r>
    </w:p>
    <w:p w14:paraId="1C58CB57" w14:textId="77777777" w:rsidR="00B40F12" w:rsidRDefault="00B40F12">
      <w:pPr>
        <w:pStyle w:val="HTMLVorformatiert"/>
        <w:widowControl/>
        <w:spacing w:before="160" w:line="240" w:lineRule="auto"/>
        <w:rPr>
          <w:rFonts w:asciiTheme="majorHAnsi" w:hAnsiTheme="majorHAnsi"/>
          <w:sz w:val="22"/>
        </w:rPr>
      </w:pPr>
    </w:p>
    <w:p w14:paraId="157D7CD5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2" w:name="_Toc491024250"/>
      <w:r>
        <w:rPr>
          <w:rFonts w:asciiTheme="majorHAnsi" w:hAnsiTheme="majorHAnsi"/>
        </w:rPr>
        <w:t>Abschiebungen kranker und behinderter Menschen</w:t>
      </w:r>
      <w:bookmarkEnd w:id="2"/>
      <w:r>
        <w:rPr>
          <w:rFonts w:asciiTheme="majorHAnsi" w:hAnsiTheme="majorHAnsi"/>
        </w:rPr>
        <w:t xml:space="preserve"> stoppen</w:t>
      </w:r>
    </w:p>
    <w:p w14:paraId="0A2AC203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Menschen mit Behinderungen und chronischen Krankheiten dürfen nicht mehr von ihren Angehör</w:t>
      </w:r>
      <w:r>
        <w:rPr>
          <w:rFonts w:asciiTheme="majorHAnsi" w:hAnsiTheme="majorHAnsi"/>
          <w:sz w:val="22"/>
        </w:rPr>
        <w:t>i</w:t>
      </w:r>
      <w:r>
        <w:rPr>
          <w:rFonts w:asciiTheme="majorHAnsi" w:hAnsiTheme="majorHAnsi"/>
          <w:sz w:val="22"/>
        </w:rPr>
        <w:t xml:space="preserve">gen getrennt und/oder in Staaten abgeschoben </w:t>
      </w:r>
      <w:r>
        <w:rPr>
          <w:rFonts w:asciiTheme="majorHAnsi" w:hAnsiTheme="majorHAnsi"/>
          <w:sz w:val="22"/>
        </w:rPr>
        <w:t xml:space="preserve">werden, in denen ihre Versorgung nicht gesichert ist. </w:t>
      </w:r>
    </w:p>
    <w:p w14:paraId="25619D45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Das LEA muss in verfassungskonformer Auslegung die Indizwirkung ärztlicher und psychologischer Atteste beachten, auch wenn diese (noch) nicht den formalen Anforderungen des AufenthG en</w:t>
      </w:r>
      <w:r>
        <w:rPr>
          <w:rFonts w:asciiTheme="majorHAnsi" w:hAnsiTheme="majorHAnsi"/>
          <w:sz w:val="22"/>
        </w:rPr>
        <w:t>t</w:t>
      </w:r>
      <w:r>
        <w:rPr>
          <w:rFonts w:asciiTheme="majorHAnsi" w:hAnsiTheme="majorHAnsi"/>
          <w:sz w:val="22"/>
        </w:rPr>
        <w:lastRenderedPageBreak/>
        <w:t>sprechen. Dies g</w:t>
      </w:r>
      <w:r>
        <w:rPr>
          <w:rFonts w:asciiTheme="majorHAnsi" w:hAnsiTheme="majorHAnsi"/>
          <w:sz w:val="22"/>
        </w:rPr>
        <w:t>ilt auch bei anderweitigen Hinweisen, z.B. einer offenkundigen Schwangerschaft. Liegt ein solcher Hinweis vor, muss die Behörde den Sachverhalt von Amts wegen aufklären und G</w:t>
      </w:r>
      <w:r>
        <w:rPr>
          <w:rFonts w:asciiTheme="majorHAnsi" w:hAnsiTheme="majorHAnsi"/>
          <w:sz w:val="22"/>
        </w:rPr>
        <w:t>e</w:t>
      </w:r>
      <w:r>
        <w:rPr>
          <w:rFonts w:asciiTheme="majorHAnsi" w:hAnsiTheme="majorHAnsi"/>
          <w:sz w:val="22"/>
        </w:rPr>
        <w:t>legenheit zur weiteren Begutachtung geben. Das LEA muss ggf. entstehende Kosten ü</w:t>
      </w:r>
      <w:r>
        <w:rPr>
          <w:rFonts w:asciiTheme="majorHAnsi" w:hAnsiTheme="majorHAnsi"/>
          <w:sz w:val="22"/>
        </w:rPr>
        <w:t>bernehmen.</w:t>
      </w:r>
    </w:p>
    <w:p w14:paraId="2CDB320A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dafür einsetzen, die Kosten für asyl- und aufenthaltsrechtlich notwend</w:t>
      </w:r>
      <w:r>
        <w:rPr>
          <w:rFonts w:asciiTheme="majorHAnsi" w:hAnsiTheme="majorHAnsi"/>
          <w:sz w:val="22"/>
        </w:rPr>
        <w:t>i</w:t>
      </w:r>
      <w:r>
        <w:rPr>
          <w:rFonts w:asciiTheme="majorHAnsi" w:hAnsiTheme="majorHAnsi"/>
          <w:sz w:val="22"/>
        </w:rPr>
        <w:t>ge Gutachten nach AsylbLG zu übernehmen.</w:t>
      </w:r>
    </w:p>
    <w:p w14:paraId="701B7888" w14:textId="77777777" w:rsidR="00B40F12" w:rsidRDefault="00B40F12">
      <w:pPr>
        <w:widowControl/>
        <w:tabs>
          <w:tab w:val="center" w:pos="4896"/>
          <w:tab w:val="right" w:pos="9432"/>
        </w:tabs>
        <w:suppressAutoHyphens w:val="0"/>
        <w:spacing w:before="160"/>
        <w:rPr>
          <w:rFonts w:asciiTheme="majorHAnsi" w:hAnsiTheme="majorHAnsi"/>
          <w:sz w:val="22"/>
          <w:shd w:val="clear" w:color="auto" w:fill="FFFF00"/>
        </w:rPr>
      </w:pPr>
    </w:p>
    <w:p w14:paraId="68EBDD82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Legalisierung in Berlin geduldeter Geflüchteter </w:t>
      </w:r>
    </w:p>
    <w:p w14:paraId="3B9DB7D7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In Berlin leben fast 15.000 geduldete Geflüchtete, oft s</w:t>
      </w:r>
      <w:r>
        <w:rPr>
          <w:rFonts w:asciiTheme="majorHAnsi" w:hAnsiTheme="majorHAnsi"/>
          <w:sz w:val="22"/>
        </w:rPr>
        <w:t xml:space="preserve">eit Jahren. Eine wirksamere Umsetzung der Legalisierungsmöglichkeiten nach §§ 23, 23a, 25 und 25a/b AufenthG ist nötig. </w:t>
      </w:r>
    </w:p>
    <w:p w14:paraId="2CA2975C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Allen in Berlin geduldeten Afghan*innen ist als Folge der Machtübernahme der Taliban unverzüglich eine Arbeitserlaubnis und eine </w:t>
      </w:r>
      <w:r>
        <w:rPr>
          <w:rFonts w:asciiTheme="majorHAnsi" w:hAnsiTheme="majorHAnsi"/>
          <w:sz w:val="22"/>
        </w:rPr>
        <w:t>humanitäre Aufenthaltserlaubnis zu erteilen.</w:t>
      </w:r>
    </w:p>
    <w:p w14:paraId="74957F9B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Soweit Berlin bei Geduldeten aus Ländern wie Irak, Somalia, Jemen, Libyen und dem Libanon auf Abschiebungen verzichtet und eine Rückkehr als unmöglich ansieht, ist zur Vermeidung weiterer Kettenduldungen eine Au</w:t>
      </w:r>
      <w:r>
        <w:rPr>
          <w:rFonts w:asciiTheme="majorHAnsi" w:hAnsiTheme="majorHAnsi"/>
          <w:sz w:val="22"/>
        </w:rPr>
        <w:t>fenthaltserlaubnis nach § 25 V AufenthG  zu erteilen. Eine Zustimmung des Bundes ist hierzu nicht erforderlich.</w:t>
      </w:r>
    </w:p>
    <w:p w14:paraId="264D5FB0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aus historischer Verantwortung eine großzügige humanitäre Bleiberechtsregelung für Rom*nja aus Moldau und vom Westbalkan schaffen.</w:t>
      </w:r>
    </w:p>
    <w:p w14:paraId="015C9884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bookmarkStart w:id="3" w:name="_Toc491024257"/>
      <w:bookmarkEnd w:id="3"/>
      <w:r>
        <w:rPr>
          <w:rFonts w:asciiTheme="majorHAnsi" w:hAnsiTheme="majorHAnsi"/>
          <w:sz w:val="22"/>
        </w:rPr>
        <w:t>B</w:t>
      </w:r>
      <w:r>
        <w:rPr>
          <w:rFonts w:asciiTheme="majorHAnsi" w:hAnsiTheme="majorHAnsi"/>
          <w:sz w:val="22"/>
        </w:rPr>
        <w:t>erlin muss das Bleiberecht für Opfer von Hasskriminalität effektiver ausgestalten. Rechtsfolge muss die direkte Erteilung der Aufenthaltserlaubnis sein.</w:t>
      </w:r>
    </w:p>
    <w:p w14:paraId="5853AE8F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Die Anforderungen an das Bleiberecht für langjährig Geduldete nach §§ 25a/b AufenthG sind zu erleichter</w:t>
      </w:r>
      <w:r>
        <w:rPr>
          <w:rFonts w:asciiTheme="majorHAnsi" w:hAnsiTheme="majorHAnsi"/>
          <w:sz w:val="22"/>
        </w:rPr>
        <w:t>n. Eine Arbeitsplatzzusage zur überwiegenden (mehr als 50 %) Lebensunterhaltssicherung muss reichen. Alternativ sind Ausbildung, Qualifizierung oder intensive Arbeitsbemühungen anzue</w:t>
      </w:r>
      <w:r>
        <w:rPr>
          <w:rFonts w:asciiTheme="majorHAnsi" w:hAnsiTheme="majorHAnsi"/>
          <w:sz w:val="22"/>
        </w:rPr>
        <w:t>r</w:t>
      </w:r>
      <w:r>
        <w:rPr>
          <w:rFonts w:asciiTheme="majorHAnsi" w:hAnsiTheme="majorHAnsi"/>
          <w:sz w:val="22"/>
        </w:rPr>
        <w:t>kennen.</w:t>
      </w:r>
    </w:p>
    <w:p w14:paraId="1D5C7D0B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Die Aufenthaltsdauer für das Bleiberecht nach § 25b AufenthG für </w:t>
      </w:r>
      <w:r>
        <w:rPr>
          <w:rFonts w:asciiTheme="majorHAnsi" w:hAnsiTheme="majorHAnsi"/>
          <w:sz w:val="22"/>
        </w:rPr>
        <w:t>Geduldete, die sich nachhaltig integriert haben, ist nach dem Vorbild Bremens und NRWs um 2 bzw. 4 Jahre zu verkürzen.</w:t>
      </w:r>
    </w:p>
    <w:p w14:paraId="0035CCD1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Die verbindliche Zusicherung einer Aufenthaltserlaubnis im Gegenzug für die Vorlage eine Passes, den Nachweis von Passbemühungen, Arbeits</w:t>
      </w:r>
      <w:r>
        <w:rPr>
          <w:rFonts w:asciiTheme="majorHAnsi" w:hAnsiTheme="majorHAnsi"/>
          <w:sz w:val="22"/>
        </w:rPr>
        <w:t>bemühungen bzw. Arbeit und Ausbildung, der Rüc</w:t>
      </w:r>
      <w:r>
        <w:rPr>
          <w:rFonts w:asciiTheme="majorHAnsi" w:hAnsiTheme="majorHAnsi"/>
          <w:sz w:val="22"/>
        </w:rPr>
        <w:t>k</w:t>
      </w:r>
      <w:r>
        <w:rPr>
          <w:rFonts w:asciiTheme="majorHAnsi" w:hAnsiTheme="majorHAnsi"/>
          <w:sz w:val="22"/>
        </w:rPr>
        <w:t>nahme einer Asylklage usw. sollen den Zugang zum Bleiberecht transparenter machen (Integrat</w:t>
      </w:r>
      <w:r>
        <w:rPr>
          <w:rFonts w:asciiTheme="majorHAnsi" w:hAnsiTheme="majorHAnsi"/>
          <w:sz w:val="22"/>
        </w:rPr>
        <w:t>i</w:t>
      </w:r>
      <w:r>
        <w:rPr>
          <w:rFonts w:asciiTheme="majorHAnsi" w:hAnsiTheme="majorHAnsi"/>
          <w:sz w:val="22"/>
        </w:rPr>
        <w:t>onsvereinbarung).</w:t>
      </w:r>
    </w:p>
    <w:p w14:paraId="2AFF1BC9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beim Bund einfordern, förmliche Abschiebestopps auch über 6 Monate hinaus zu erla</w:t>
      </w:r>
      <w:r>
        <w:rPr>
          <w:rFonts w:asciiTheme="majorHAnsi" w:hAnsiTheme="majorHAnsi"/>
          <w:sz w:val="22"/>
        </w:rPr>
        <w:t>s</w:t>
      </w:r>
      <w:r>
        <w:rPr>
          <w:rFonts w:asciiTheme="majorHAnsi" w:hAnsiTheme="majorHAnsi"/>
          <w:sz w:val="22"/>
        </w:rPr>
        <w:t>sen u</w:t>
      </w:r>
      <w:r>
        <w:rPr>
          <w:rFonts w:asciiTheme="majorHAnsi" w:hAnsiTheme="majorHAnsi"/>
          <w:sz w:val="22"/>
        </w:rPr>
        <w:t>nd das für diesen Fall vorgesehene Bleiberecht nach § 23 I AufenthG umzusetzen.</w:t>
      </w:r>
    </w:p>
    <w:p w14:paraId="17D9A7CB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für Erleichterungen des humanitären Bleiberechts einsetzen, z.B. ein Absenken der Voraufenthaltsdauer und die Legalisierung aller bis 2015/2016 nach Deutschland g</w:t>
      </w:r>
      <w:r>
        <w:rPr>
          <w:rFonts w:asciiTheme="majorHAnsi" w:hAnsiTheme="majorHAnsi"/>
          <w:sz w:val="22"/>
        </w:rPr>
        <w:t>e</w:t>
      </w:r>
      <w:r>
        <w:rPr>
          <w:rFonts w:asciiTheme="majorHAnsi" w:hAnsiTheme="majorHAnsi"/>
          <w:sz w:val="22"/>
        </w:rPr>
        <w:t xml:space="preserve">flüchteten Menschen (Amnestieregelung). </w:t>
      </w:r>
    </w:p>
    <w:p w14:paraId="1406DA56" w14:textId="77777777" w:rsidR="00B40F12" w:rsidRDefault="00B40F12">
      <w:pPr>
        <w:widowControl/>
        <w:tabs>
          <w:tab w:val="center" w:pos="4896"/>
          <w:tab w:val="right" w:pos="9432"/>
        </w:tabs>
        <w:suppressAutoHyphens w:val="0"/>
        <w:spacing w:before="160"/>
        <w:rPr>
          <w:rFonts w:asciiTheme="majorHAnsi" w:hAnsiTheme="majorHAnsi"/>
          <w:sz w:val="22"/>
          <w:szCs w:val="22"/>
        </w:rPr>
      </w:pPr>
    </w:p>
    <w:p w14:paraId="65F2C292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4" w:name="_Toc491024256"/>
      <w:bookmarkEnd w:id="4"/>
      <w:r>
        <w:rPr>
          <w:rFonts w:asciiTheme="majorHAnsi" w:hAnsiTheme="majorHAnsi"/>
        </w:rPr>
        <w:t>Härtefallkommission stär</w:t>
      </w:r>
      <w:r>
        <w:rPr>
          <w:rFonts w:asciiTheme="majorHAnsi" w:hAnsiTheme="majorHAnsi"/>
        </w:rPr>
        <w:t>ker an humanitären Kriterien ausrichten</w:t>
      </w:r>
    </w:p>
    <w:p w14:paraId="2D1F571F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Beim Bleiberecht über die Härtefallkommission (HFK) muss Berlin humanitäre Härten stärker beac</w:t>
      </w:r>
      <w:r>
        <w:rPr>
          <w:rFonts w:asciiTheme="majorHAnsi" w:hAnsiTheme="majorHAnsi"/>
          <w:sz w:val="22"/>
        </w:rPr>
        <w:t>h</w:t>
      </w:r>
      <w:r>
        <w:rPr>
          <w:rFonts w:asciiTheme="majorHAnsi" w:hAnsiTheme="majorHAnsi"/>
          <w:sz w:val="22"/>
        </w:rPr>
        <w:t>ten. Maßstab darf nicht zuerst die Verwertbarkeit für den Arbeitsmarkt sein.</w:t>
      </w:r>
    </w:p>
    <w:p w14:paraId="265E124F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Auch Krankheiten und Behinderungen, die nich</w:t>
      </w:r>
      <w:r>
        <w:rPr>
          <w:rFonts w:asciiTheme="majorHAnsi" w:hAnsiTheme="majorHAnsi"/>
          <w:sz w:val="22"/>
        </w:rPr>
        <w:t>t als rechtliches Abschiebehindernis gelten, können eine Härte begründen, etwa wenn in Berlin eine Betreuung im Familienverbund erfolgt.</w:t>
      </w:r>
    </w:p>
    <w:p w14:paraId="01F13692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Auch Familientrennungen oder der Ausschluss vom Bleiberecht infolge von Straftaten sind deutl</w:t>
      </w:r>
      <w:r>
        <w:rPr>
          <w:rFonts w:asciiTheme="majorHAnsi" w:hAnsiTheme="majorHAnsi"/>
          <w:sz w:val="22"/>
        </w:rPr>
        <w:t>i</w:t>
      </w:r>
      <w:r>
        <w:rPr>
          <w:rFonts w:asciiTheme="majorHAnsi" w:hAnsiTheme="majorHAnsi"/>
          <w:sz w:val="22"/>
        </w:rPr>
        <w:t>cher als bisher als Härte</w:t>
      </w:r>
      <w:r>
        <w:rPr>
          <w:rFonts w:asciiTheme="majorHAnsi" w:hAnsiTheme="majorHAnsi"/>
          <w:sz w:val="22"/>
        </w:rPr>
        <w:t>n zu berücksichtigen.</w:t>
      </w:r>
    </w:p>
    <w:p w14:paraId="1DC738A9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lastRenderedPageBreak/>
        <w:t>Während des Härtefallverfahrens ist stets eine Duldung mit Arbeitserlaubnis zu erteilen.</w:t>
      </w:r>
    </w:p>
    <w:p w14:paraId="7ED57905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Die Arbeit der NGO-Vertreter*innen in der HFK ist vom Senat vollumfänglich finanziell zu fördern.</w:t>
      </w:r>
    </w:p>
    <w:p w14:paraId="5E90AC8D" w14:textId="77777777" w:rsidR="00B40F12" w:rsidRDefault="00B40F12">
      <w:pPr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60"/>
        <w:rPr>
          <w:rFonts w:asciiTheme="majorHAnsi" w:hAnsiTheme="majorHAnsi"/>
          <w:sz w:val="22"/>
          <w:szCs w:val="22"/>
        </w:rPr>
      </w:pPr>
    </w:p>
    <w:p w14:paraId="6F388140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5" w:name="_Toc491024259"/>
      <w:bookmarkEnd w:id="5"/>
      <w:r>
        <w:rPr>
          <w:rFonts w:asciiTheme="majorHAnsi" w:hAnsiTheme="majorHAnsi"/>
        </w:rPr>
        <w:t>Ausbildung und Arbeit ermöglichen - auf Beschä</w:t>
      </w:r>
      <w:r>
        <w:rPr>
          <w:rFonts w:asciiTheme="majorHAnsi" w:hAnsiTheme="majorHAnsi"/>
        </w:rPr>
        <w:t>ftigungsverbote verzichten</w:t>
      </w:r>
    </w:p>
    <w:p w14:paraId="65C360E5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Das Recht auf Arbeit und Bildung ist ein Menschenrecht, das nicht aus migrationspolitischen Erw</w:t>
      </w:r>
      <w:r>
        <w:rPr>
          <w:rFonts w:asciiTheme="majorHAnsi" w:hAnsiTheme="majorHAnsi"/>
          <w:sz w:val="22"/>
        </w:rPr>
        <w:t>ä</w:t>
      </w:r>
      <w:r>
        <w:rPr>
          <w:rFonts w:asciiTheme="majorHAnsi" w:hAnsiTheme="majorHAnsi"/>
          <w:sz w:val="22"/>
        </w:rPr>
        <w:t>gungen verwehrt werden darf. Auf Arbeitsverbote und die Duldung Light ist möglichst zu verzichten, zumal sie das Problem der Kettendu</w:t>
      </w:r>
      <w:r>
        <w:rPr>
          <w:rFonts w:asciiTheme="majorHAnsi" w:hAnsiTheme="majorHAnsi"/>
          <w:sz w:val="22"/>
        </w:rPr>
        <w:t>ldungen weiter verschärfen.</w:t>
      </w:r>
    </w:p>
    <w:p w14:paraId="136919B8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Das LEA muss Beschäftigungserlaubnisse für Asylsuchende und Geduldete per Online-Verfahren spätestens nach 14 Tagen, bei zustimmungsfreien Beschäftigungen binnen 2 Tagen erteilen. </w:t>
      </w:r>
    </w:p>
    <w:p w14:paraId="420C6A3B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Vor Erlass eines Beschäftigungsverbots sind Bet</w:t>
      </w:r>
      <w:r>
        <w:rPr>
          <w:rFonts w:asciiTheme="majorHAnsi" w:hAnsiTheme="majorHAnsi"/>
          <w:sz w:val="22"/>
        </w:rPr>
        <w:t>roffene anzuhören. Beschäftigungsverbote dürfen nur mit rechtsmittelfähigem Bescheid erfolgen. Ein Beschäftigungsverbot setzt eine individuell ko</w:t>
      </w:r>
      <w:r>
        <w:rPr>
          <w:rFonts w:asciiTheme="majorHAnsi" w:hAnsiTheme="majorHAnsi"/>
          <w:sz w:val="22"/>
        </w:rPr>
        <w:t>n</w:t>
      </w:r>
      <w:r>
        <w:rPr>
          <w:rFonts w:asciiTheme="majorHAnsi" w:hAnsiTheme="majorHAnsi"/>
          <w:sz w:val="22"/>
        </w:rPr>
        <w:t xml:space="preserve">kretisierte Aufforderung zur Mitwirkung voraus. </w:t>
      </w:r>
    </w:p>
    <w:p w14:paraId="715430B9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Für Menschen aus Ländern mit de facto Abschiebestopps wie Afg</w:t>
      </w:r>
      <w:r>
        <w:rPr>
          <w:rFonts w:asciiTheme="majorHAnsi" w:hAnsiTheme="majorHAnsi"/>
          <w:sz w:val="22"/>
        </w:rPr>
        <w:t>hanistan, Irak, Libyen, Somalia, Libanon, Jemen usw. darf es keine Beschäftigungsverbote mehr geben, da die Passlosigkeit nicht u</w:t>
      </w:r>
      <w:r>
        <w:rPr>
          <w:rFonts w:asciiTheme="majorHAnsi" w:hAnsiTheme="majorHAnsi"/>
          <w:sz w:val="22"/>
        </w:rPr>
        <w:t>r</w:t>
      </w:r>
      <w:r>
        <w:rPr>
          <w:rFonts w:asciiTheme="majorHAnsi" w:hAnsiTheme="majorHAnsi"/>
          <w:sz w:val="22"/>
        </w:rPr>
        <w:t xml:space="preserve">sächlich für das Aussetzen der Abschiebung ist. </w:t>
      </w:r>
    </w:p>
    <w:p w14:paraId="45DE1A80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Berlin muss sich beim Bund für die Abschaffung aller Arbeitsverbote im </w:t>
      </w:r>
      <w:r>
        <w:rPr>
          <w:rFonts w:asciiTheme="majorHAnsi" w:hAnsiTheme="majorHAnsi"/>
          <w:sz w:val="22"/>
        </w:rPr>
        <w:t>AufenthG und AsylG einse</w:t>
      </w:r>
      <w:r>
        <w:rPr>
          <w:rFonts w:asciiTheme="majorHAnsi" w:hAnsiTheme="majorHAnsi"/>
          <w:sz w:val="22"/>
        </w:rPr>
        <w:t>t</w:t>
      </w:r>
      <w:r>
        <w:rPr>
          <w:rFonts w:asciiTheme="majorHAnsi" w:hAnsiTheme="majorHAnsi"/>
          <w:sz w:val="22"/>
        </w:rPr>
        <w:t>zen.</w:t>
      </w:r>
    </w:p>
    <w:p w14:paraId="74AB6C8D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für die Abschaffung des Arbeitserlaubnisverfahrens für Asylsuchende und Geduldete einsetzen. Seit dem Wegfall der Vorrangprüfung handelt es sich um reine Förmelei.</w:t>
      </w:r>
    </w:p>
    <w:p w14:paraId="6F704512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Berlin muss sich beim Bund für die </w:t>
      </w:r>
      <w:r>
        <w:rPr>
          <w:rFonts w:asciiTheme="majorHAnsi" w:hAnsiTheme="majorHAnsi"/>
          <w:sz w:val="22"/>
        </w:rPr>
        <w:t>Erteilung von Aufenthaltserlaubnissen zur Ausbildung und B</w:t>
      </w:r>
      <w:r>
        <w:rPr>
          <w:rFonts w:asciiTheme="majorHAnsi" w:hAnsiTheme="majorHAnsi"/>
          <w:sz w:val="22"/>
        </w:rPr>
        <w:t>e</w:t>
      </w:r>
      <w:r>
        <w:rPr>
          <w:rFonts w:asciiTheme="majorHAnsi" w:hAnsiTheme="majorHAnsi"/>
          <w:sz w:val="22"/>
        </w:rPr>
        <w:t>schäftigung anstelle von Ausbildungs- und Beschäftigungsduldungen einsetzen.</w:t>
      </w:r>
    </w:p>
    <w:p w14:paraId="4116BA73" w14:textId="77777777" w:rsidR="00B40F12" w:rsidRDefault="00B40F12">
      <w:pPr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60"/>
        <w:rPr>
          <w:rFonts w:asciiTheme="majorHAnsi" w:hAnsiTheme="majorHAnsi"/>
          <w:sz w:val="22"/>
          <w:szCs w:val="22"/>
        </w:rPr>
      </w:pPr>
    </w:p>
    <w:p w14:paraId="1FFBB1CF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6" w:name="_Toc491024260"/>
      <w:bookmarkEnd w:id="6"/>
      <w:r>
        <w:rPr>
          <w:rFonts w:asciiTheme="majorHAnsi" w:hAnsiTheme="majorHAnsi"/>
        </w:rPr>
        <w:t xml:space="preserve">Zugang zu Arbeit und Wohnung erleichtern – auf Wohnsitzauflagen verzichten </w:t>
      </w:r>
    </w:p>
    <w:p w14:paraId="15E1187C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Das LEA muss im Ermessensweg auf Wohnsitzau</w:t>
      </w:r>
      <w:r>
        <w:rPr>
          <w:rFonts w:asciiTheme="majorHAnsi" w:hAnsiTheme="majorHAnsi"/>
          <w:sz w:val="22"/>
        </w:rPr>
        <w:t>flagen für Ausländer*innen verzichten, die in einer Sammelunterkunft leben und andernorts eine Wohnung finden.</w:t>
      </w:r>
    </w:p>
    <w:p w14:paraId="77750F0E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Das LEA muss in einem Online-Verfahren binnen weniger Tage über die Streichung von Wohnsitzau</w:t>
      </w:r>
      <w:r>
        <w:rPr>
          <w:rFonts w:asciiTheme="majorHAnsi" w:hAnsiTheme="majorHAnsi"/>
          <w:sz w:val="22"/>
        </w:rPr>
        <w:t>f</w:t>
      </w:r>
      <w:r>
        <w:rPr>
          <w:rFonts w:asciiTheme="majorHAnsi" w:hAnsiTheme="majorHAnsi"/>
          <w:sz w:val="22"/>
        </w:rPr>
        <w:t>lagen für Ausländer*innen entscheiden, die andernor</w:t>
      </w:r>
      <w:r>
        <w:rPr>
          <w:rFonts w:asciiTheme="majorHAnsi" w:hAnsiTheme="majorHAnsi"/>
          <w:sz w:val="22"/>
        </w:rPr>
        <w:t>ts Arbeit, Ausbildung oder eine Wohnung fi</w:t>
      </w:r>
      <w:r>
        <w:rPr>
          <w:rFonts w:asciiTheme="majorHAnsi" w:hAnsiTheme="majorHAnsi"/>
          <w:sz w:val="22"/>
        </w:rPr>
        <w:t>n</w:t>
      </w:r>
      <w:r>
        <w:rPr>
          <w:rFonts w:asciiTheme="majorHAnsi" w:hAnsiTheme="majorHAnsi"/>
          <w:sz w:val="22"/>
        </w:rPr>
        <w:t>den.</w:t>
      </w:r>
    </w:p>
    <w:p w14:paraId="60CF8D43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für die Abschaffung der integrationspolitisch kontraproduktiven Woh</w:t>
      </w:r>
      <w:r>
        <w:rPr>
          <w:rFonts w:asciiTheme="majorHAnsi" w:hAnsiTheme="majorHAnsi"/>
          <w:sz w:val="22"/>
        </w:rPr>
        <w:t>n</w:t>
      </w:r>
      <w:r>
        <w:rPr>
          <w:rFonts w:asciiTheme="majorHAnsi" w:hAnsiTheme="majorHAnsi"/>
          <w:sz w:val="22"/>
        </w:rPr>
        <w:t xml:space="preserve">sitzauflagen einsetzen. </w:t>
      </w:r>
    </w:p>
    <w:p w14:paraId="156B22E0" w14:textId="77777777" w:rsidR="00B40F12" w:rsidRDefault="00B40F12">
      <w:pPr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60"/>
        <w:rPr>
          <w:rFonts w:asciiTheme="majorHAnsi" w:hAnsiTheme="majorHAnsi"/>
          <w:sz w:val="22"/>
          <w:szCs w:val="22"/>
        </w:rPr>
      </w:pPr>
    </w:p>
    <w:p w14:paraId="4A25B58E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7" w:name="_Toc491024262"/>
      <w:r>
        <w:rPr>
          <w:rFonts w:asciiTheme="majorHAnsi" w:hAnsiTheme="majorHAnsi"/>
        </w:rPr>
        <w:t>Auf Abschiebungshaft verzichten</w:t>
      </w:r>
      <w:bookmarkEnd w:id="7"/>
      <w:r>
        <w:rPr>
          <w:rFonts w:asciiTheme="majorHAnsi" w:hAnsiTheme="majorHAnsi"/>
        </w:rPr>
        <w:t xml:space="preserve"> </w:t>
      </w:r>
    </w:p>
    <w:p w14:paraId="23B2DBAF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auf Abschiebungshaft verzichten und die 20</w:t>
      </w:r>
      <w:r>
        <w:rPr>
          <w:rFonts w:asciiTheme="majorHAnsi" w:hAnsiTheme="majorHAnsi"/>
          <w:sz w:val="22"/>
        </w:rPr>
        <w:t>18 eröffnete weitgehend leer stehende A</w:t>
      </w:r>
      <w:r>
        <w:rPr>
          <w:rFonts w:asciiTheme="majorHAnsi" w:hAnsiTheme="majorHAnsi"/>
          <w:sz w:val="22"/>
        </w:rPr>
        <w:t>b</w:t>
      </w:r>
      <w:r>
        <w:rPr>
          <w:rFonts w:asciiTheme="majorHAnsi" w:hAnsiTheme="majorHAnsi"/>
          <w:sz w:val="22"/>
        </w:rPr>
        <w:t xml:space="preserve">schiebungshaftanstalt für "Gefährder" schließen. </w:t>
      </w:r>
    </w:p>
    <w:p w14:paraId="1FA28CE9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dafür einsetzen, dass die Hafteinrichtung am Flughafen BER geschlossen wird und dass dort kein Abschiebezentrum gebaut wird.</w:t>
      </w:r>
    </w:p>
    <w:p w14:paraId="3A04934C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</w:t>
      </w:r>
      <w:r>
        <w:rPr>
          <w:rFonts w:asciiTheme="majorHAnsi" w:hAnsiTheme="majorHAnsi"/>
          <w:sz w:val="22"/>
        </w:rPr>
        <w:t>nd für die Abschaffung des Flughafenasylverfahren und der Abschiebung</w:t>
      </w:r>
      <w:r>
        <w:rPr>
          <w:rFonts w:asciiTheme="majorHAnsi" w:hAnsiTheme="majorHAnsi"/>
          <w:sz w:val="22"/>
        </w:rPr>
        <w:t>s</w:t>
      </w:r>
      <w:r>
        <w:rPr>
          <w:rFonts w:asciiTheme="majorHAnsi" w:hAnsiTheme="majorHAnsi"/>
          <w:sz w:val="22"/>
        </w:rPr>
        <w:t>haft einsetzen.</w:t>
      </w:r>
    </w:p>
    <w:p w14:paraId="5C939D7B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hilfsweise dafür einsetzen, dass in Abschiebungshaft und Flughafenasy</w:t>
      </w:r>
      <w:r>
        <w:rPr>
          <w:rFonts w:asciiTheme="majorHAnsi" w:hAnsiTheme="majorHAnsi"/>
          <w:sz w:val="22"/>
        </w:rPr>
        <w:t>l</w:t>
      </w:r>
      <w:r>
        <w:rPr>
          <w:rFonts w:asciiTheme="majorHAnsi" w:hAnsiTheme="majorHAnsi"/>
          <w:sz w:val="22"/>
        </w:rPr>
        <w:t>verfahren von Anfang an eine kostenlose anwaltliche Vertretung sichergest</w:t>
      </w:r>
      <w:r>
        <w:rPr>
          <w:rFonts w:asciiTheme="majorHAnsi" w:hAnsiTheme="majorHAnsi"/>
          <w:sz w:val="22"/>
        </w:rPr>
        <w:t>ellt und die Inhaftierung Minderjähriger ausnahmslos verboten wird.</w:t>
      </w:r>
    </w:p>
    <w:p w14:paraId="260D4D7A" w14:textId="77777777" w:rsidR="00B40F12" w:rsidRDefault="00B40F12">
      <w:pPr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60"/>
        <w:rPr>
          <w:rFonts w:asciiTheme="majorHAnsi" w:hAnsiTheme="majorHAnsi"/>
          <w:sz w:val="22"/>
          <w:szCs w:val="22"/>
        </w:rPr>
      </w:pPr>
    </w:p>
    <w:p w14:paraId="67621A55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8" w:name="_Toc491024263"/>
      <w:r>
        <w:rPr>
          <w:rFonts w:asciiTheme="majorHAnsi" w:hAnsiTheme="majorHAnsi"/>
        </w:rPr>
        <w:t>Menschenwürde und Rechtsschutz für illegalisierte Menschen</w:t>
      </w:r>
      <w:bookmarkEnd w:id="8"/>
      <w:r>
        <w:rPr>
          <w:rFonts w:asciiTheme="majorHAnsi" w:hAnsiTheme="majorHAnsi"/>
        </w:rPr>
        <w:t xml:space="preserve"> sicherstellen</w:t>
      </w:r>
    </w:p>
    <w:p w14:paraId="399926FD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Der Senat muss sich ernsthaft um die Legalisierung von Menschen ohne Papiere bemühen. Dies beinhaltet auch bisher </w:t>
      </w:r>
      <w:r>
        <w:rPr>
          <w:rFonts w:asciiTheme="majorHAnsi" w:hAnsiTheme="majorHAnsi"/>
          <w:sz w:val="22"/>
        </w:rPr>
        <w:t xml:space="preserve">nicht geregelte "Oranienplatz-" und vergleichbare Fälle. Die Offenbarung von Identität und Wohnsitz durch einen Härtefallantrag darf nicht zur Abschiebung führen. </w:t>
      </w:r>
    </w:p>
    <w:p w14:paraId="43799845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Der Zugang zu Gesundheit, Bildung, Beratung und Rechtsschutz ist unabhängig vom Aufenthaltss</w:t>
      </w:r>
      <w:r>
        <w:rPr>
          <w:rFonts w:asciiTheme="majorHAnsi" w:hAnsiTheme="majorHAnsi"/>
          <w:sz w:val="22"/>
        </w:rPr>
        <w:t>t</w:t>
      </w:r>
      <w:r>
        <w:rPr>
          <w:rFonts w:asciiTheme="majorHAnsi" w:hAnsiTheme="majorHAnsi"/>
          <w:sz w:val="22"/>
        </w:rPr>
        <w:t>a</w:t>
      </w:r>
      <w:r>
        <w:rPr>
          <w:rFonts w:asciiTheme="majorHAnsi" w:hAnsiTheme="majorHAnsi"/>
          <w:sz w:val="22"/>
        </w:rPr>
        <w:t>tus zu sichern. Dies schließt ein Übermittlungsverbot für alle beteiligten öffentlichen Stellen ein.</w:t>
      </w:r>
    </w:p>
    <w:p w14:paraId="2AD3592C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für die Abschaffung der Übermittlungspflicht nach § 87 AufenthG und ein sanktionsbewehrtes Übermittlungsverbot einsetzen.</w:t>
      </w:r>
    </w:p>
    <w:p w14:paraId="0910B91D" w14:textId="77777777" w:rsidR="00B40F12" w:rsidRDefault="00B40F12">
      <w:pPr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60"/>
        <w:rPr>
          <w:rFonts w:asciiTheme="majorHAnsi" w:hAnsiTheme="majorHAnsi"/>
          <w:sz w:val="22"/>
          <w:szCs w:val="22"/>
        </w:rPr>
      </w:pPr>
    </w:p>
    <w:p w14:paraId="619A55FD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9" w:name="_Toc491024269"/>
      <w:bookmarkEnd w:id="9"/>
      <w:r>
        <w:rPr>
          <w:rFonts w:asciiTheme="majorHAnsi" w:hAnsiTheme="majorHAnsi"/>
        </w:rPr>
        <w:t>Lan</w:t>
      </w:r>
      <w:r>
        <w:rPr>
          <w:rFonts w:asciiTheme="majorHAnsi" w:hAnsiTheme="majorHAnsi"/>
        </w:rPr>
        <w:t>desaufnahmeprogramme vorlegen, Aufnahme umsetzen</w:t>
      </w:r>
    </w:p>
    <w:p w14:paraId="78E1BD8C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Das Berliner Landesaufnahmeprogramm für Menschen aus Syrien und Irak muss auf Menschen aus Afghanistan ausgeweitet werden. Die Einkommensanforderungen für die Verpflichtung Dritter sind abzusenken.</w:t>
      </w:r>
    </w:p>
    <w:p w14:paraId="0731A09E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</w:t>
      </w:r>
      <w:r>
        <w:rPr>
          <w:rFonts w:asciiTheme="majorHAnsi" w:hAnsiTheme="majorHAnsi"/>
          <w:sz w:val="22"/>
        </w:rPr>
        <w:t>ss Landesaufnahmeprogramme für Geflüchtete aus weiteren Krisenregionen und Transi</w:t>
      </w:r>
      <w:r>
        <w:rPr>
          <w:rFonts w:asciiTheme="majorHAnsi" w:hAnsiTheme="majorHAnsi"/>
          <w:sz w:val="22"/>
        </w:rPr>
        <w:t>t</w:t>
      </w:r>
      <w:r>
        <w:rPr>
          <w:rFonts w:asciiTheme="majorHAnsi" w:hAnsiTheme="majorHAnsi"/>
          <w:sz w:val="22"/>
        </w:rPr>
        <w:t>ländern (Griechenland, Libyen, Bosnien, Libanon u.a.) vorlegen. Der Innenausschuss des Abgeordn</w:t>
      </w:r>
      <w:r>
        <w:rPr>
          <w:rFonts w:asciiTheme="majorHAnsi" w:hAnsiTheme="majorHAnsi"/>
          <w:sz w:val="22"/>
        </w:rPr>
        <w:t>e</w:t>
      </w:r>
      <w:r>
        <w:rPr>
          <w:rFonts w:asciiTheme="majorHAnsi" w:hAnsiTheme="majorHAnsi"/>
          <w:sz w:val="22"/>
        </w:rPr>
        <w:t>tenhauses soll sich vor Ort ein Bild von der Situation in den Flüchtlingslager</w:t>
      </w:r>
      <w:r>
        <w:rPr>
          <w:rFonts w:asciiTheme="majorHAnsi" w:hAnsiTheme="majorHAnsi"/>
          <w:sz w:val="22"/>
        </w:rPr>
        <w:t>n machen.</w:t>
      </w:r>
    </w:p>
    <w:p w14:paraId="15EB9183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die individuelle Aufnahme nach § 22 S. 1 AufenthG ohne Zustimmung des Bundes ve</w:t>
      </w:r>
      <w:r>
        <w:rPr>
          <w:rFonts w:asciiTheme="majorHAnsi" w:hAnsiTheme="majorHAnsi"/>
          <w:sz w:val="22"/>
        </w:rPr>
        <w:t>r</w:t>
      </w:r>
      <w:r>
        <w:rPr>
          <w:rFonts w:asciiTheme="majorHAnsi" w:hAnsiTheme="majorHAnsi"/>
          <w:sz w:val="22"/>
        </w:rPr>
        <w:t>stärkt nutzen.</w:t>
      </w:r>
    </w:p>
    <w:p w14:paraId="093A0657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Die schnelle und unbürokratische Aufnahme aller Familienangehöriger in Berlin lebender Flüchtlinge aus Afghanistan ist zu ermöglichen.</w:t>
      </w:r>
    </w:p>
    <w:p w14:paraId="1211F07B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weiter für die Zulässigkeit eigener Landesaufnahmeprogramme einse</w:t>
      </w:r>
      <w:r>
        <w:rPr>
          <w:rFonts w:asciiTheme="majorHAnsi" w:hAnsiTheme="majorHAnsi"/>
          <w:sz w:val="22"/>
        </w:rPr>
        <w:t>t</w:t>
      </w:r>
      <w:r>
        <w:rPr>
          <w:rFonts w:asciiTheme="majorHAnsi" w:hAnsiTheme="majorHAnsi"/>
          <w:sz w:val="22"/>
        </w:rPr>
        <w:t>zen und ggf. die Zustimmung des Bundes einklagen.</w:t>
      </w:r>
    </w:p>
    <w:p w14:paraId="55434CFD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für die zeitnahe Überprüfung der fehlerhaften Asylablehnungen von Afghan*innen durch d</w:t>
      </w:r>
      <w:r>
        <w:rPr>
          <w:rFonts w:asciiTheme="majorHAnsi" w:hAnsiTheme="majorHAnsi"/>
          <w:sz w:val="22"/>
        </w:rPr>
        <w:t>as BAMF und die sofortige Wiederaufnahme der Asylprüfungen einsetzen.</w:t>
      </w:r>
    </w:p>
    <w:p w14:paraId="11ED697E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Berlin als Teil des europäischen Städtenetzwerks Solidarity Cities und Sicherer Hafen muss einen sofortigen Abschiebestopp für Asylsuchende und anerkannte Geflüchtete erlassen, die über </w:t>
      </w:r>
      <w:r>
        <w:rPr>
          <w:rFonts w:asciiTheme="majorHAnsi" w:hAnsiTheme="majorHAnsi"/>
          <w:sz w:val="22"/>
        </w:rPr>
        <w:t>Länder wie Griechenland, Bulgarien, Ungarn oder Italien nach Berlin gekommen sind, wo menschenwürdige Aufnahme- und Existenzmöglichkeiten für Geflüchtete fehlen.</w:t>
      </w:r>
    </w:p>
    <w:p w14:paraId="5BF4C99C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und der EU für die Förderung der Seenotrettung durch zivile Struktu</w:t>
      </w:r>
      <w:r>
        <w:rPr>
          <w:rFonts w:asciiTheme="majorHAnsi" w:hAnsiTheme="majorHAnsi"/>
          <w:sz w:val="22"/>
        </w:rPr>
        <w:t>ren einsetzen.</w:t>
      </w:r>
    </w:p>
    <w:p w14:paraId="58E74069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und der EU für die Aufkündigung des EU-Türkei-Deals und der Kooper</w:t>
      </w:r>
      <w:r>
        <w:rPr>
          <w:rFonts w:asciiTheme="majorHAnsi" w:hAnsiTheme="majorHAnsi"/>
          <w:sz w:val="22"/>
        </w:rPr>
        <w:t>a</w:t>
      </w:r>
      <w:r>
        <w:rPr>
          <w:rFonts w:asciiTheme="majorHAnsi" w:hAnsiTheme="majorHAnsi"/>
          <w:sz w:val="22"/>
        </w:rPr>
        <w:t>tion mit der sogenannten libyschen Küstenwache einsetzen.</w:t>
      </w:r>
    </w:p>
    <w:p w14:paraId="3A9ED4B6" w14:textId="77777777" w:rsidR="00B40F12" w:rsidRDefault="00B40F12">
      <w:pPr>
        <w:widowControl/>
        <w:tabs>
          <w:tab w:val="center" w:pos="4896"/>
          <w:tab w:val="right" w:pos="9432"/>
        </w:tabs>
        <w:suppressAutoHyphens w:val="0"/>
        <w:spacing w:before="160"/>
        <w:rPr>
          <w:rFonts w:asciiTheme="majorHAnsi" w:hAnsiTheme="majorHAnsi"/>
          <w:sz w:val="20"/>
        </w:rPr>
      </w:pPr>
    </w:p>
    <w:p w14:paraId="7A53186A" w14:textId="77777777" w:rsidR="00B40F12" w:rsidRDefault="00B40F12">
      <w:pPr>
        <w:widowControl/>
        <w:tabs>
          <w:tab w:val="center" w:pos="4896"/>
          <w:tab w:val="right" w:pos="9432"/>
        </w:tabs>
        <w:suppressAutoHyphens w:val="0"/>
        <w:spacing w:before="160"/>
        <w:rPr>
          <w:rFonts w:asciiTheme="majorHAnsi" w:hAnsiTheme="majorHAnsi"/>
          <w:sz w:val="20"/>
        </w:rPr>
      </w:pPr>
    </w:p>
    <w:p w14:paraId="60DC9397" w14:textId="77777777" w:rsidR="00B40F12" w:rsidRDefault="00D97422">
      <w:pPr>
        <w:pStyle w:val="berschrift2"/>
        <w:widowControl/>
        <w:numPr>
          <w:ilvl w:val="1"/>
          <w:numId w:val="2"/>
        </w:numPr>
        <w:spacing w:before="160"/>
        <w:rPr>
          <w:rFonts w:asciiTheme="majorHAnsi" w:hAnsiTheme="majorHAnsi"/>
        </w:rPr>
      </w:pPr>
      <w:r>
        <w:rPr>
          <w:rFonts w:asciiTheme="majorHAnsi" w:hAnsiTheme="majorHAnsi"/>
        </w:rPr>
        <w:t>Rechtskonforme und menschenwürdige Asylaufnahme</w:t>
      </w:r>
    </w:p>
    <w:p w14:paraId="0916F614" w14:textId="77777777" w:rsidR="00B40F12" w:rsidRDefault="00B40F12">
      <w:pPr>
        <w:widowControl/>
        <w:suppressAutoHyphens w:val="0"/>
        <w:spacing w:before="160"/>
        <w:rPr>
          <w:rFonts w:asciiTheme="majorHAnsi" w:hAnsiTheme="majorHAnsi"/>
          <w:sz w:val="16"/>
          <w:szCs w:val="16"/>
        </w:rPr>
      </w:pPr>
    </w:p>
    <w:p w14:paraId="50EB1829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10" w:name="_Toc491024267"/>
      <w:bookmarkStart w:id="11" w:name="_Toc491024266"/>
      <w:r>
        <w:rPr>
          <w:rFonts w:asciiTheme="majorHAnsi" w:hAnsiTheme="majorHAnsi"/>
        </w:rPr>
        <w:t xml:space="preserve">Asylaufnahme, behördenunabhängige </w:t>
      </w:r>
      <w:r>
        <w:rPr>
          <w:rFonts w:asciiTheme="majorHAnsi" w:hAnsiTheme="majorHAnsi"/>
        </w:rPr>
        <w:t>Asylberatung</w:t>
      </w:r>
      <w:bookmarkEnd w:id="10"/>
      <w:bookmarkEnd w:id="11"/>
      <w:r>
        <w:rPr>
          <w:rFonts w:asciiTheme="majorHAnsi" w:hAnsiTheme="majorHAnsi"/>
        </w:rPr>
        <w:t xml:space="preserve">, Rechte besonders Schutzbedürftiger </w:t>
      </w:r>
    </w:p>
    <w:p w14:paraId="660AADE4" w14:textId="77777777" w:rsidR="00B40F12" w:rsidRDefault="00D97422">
      <w:pPr>
        <w:pStyle w:val="Listenabsatz"/>
        <w:widowControl/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Das Berliner Ankunftszentrum AkuZ muss für die Registrierung 24/7 mit Fachpersonal besetzt sein. Der Aufenthalt im Akuz ist auf eine Woche zu beschränken. Auch während der geplanten Sanierung </w:t>
      </w:r>
      <w:r>
        <w:rPr>
          <w:rFonts w:asciiTheme="majorHAnsi" w:hAnsiTheme="majorHAnsi"/>
          <w:sz w:val="22"/>
        </w:rPr>
        <w:lastRenderedPageBreak/>
        <w:t>des AKuZ Bunde</w:t>
      </w:r>
      <w:r>
        <w:rPr>
          <w:rFonts w:asciiTheme="majorHAnsi" w:hAnsiTheme="majorHAnsi"/>
          <w:sz w:val="22"/>
        </w:rPr>
        <w:t>sallee und Reinickendorf muss die unverzügliche Registrierung einer möglicherweise wieder steigenden Zahl Asylsuchender gewährleistet sein.</w:t>
      </w:r>
    </w:p>
    <w:p w14:paraId="42BDEB3B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gemäß AsylverfahrensRL EU eine behördenunabhängige Asylrechtsberatung im AKuZ sicherstellen. Die AWO hat</w:t>
      </w:r>
      <w:r>
        <w:rPr>
          <w:rFonts w:asciiTheme="majorHAnsi" w:hAnsiTheme="majorHAnsi"/>
          <w:sz w:val="22"/>
        </w:rPr>
        <w:t xml:space="preserve"> sich als Träger bewährt. Die Stelle ist finanziell und personell abzus</w:t>
      </w:r>
      <w:r>
        <w:rPr>
          <w:rFonts w:asciiTheme="majorHAnsi" w:hAnsiTheme="majorHAnsi"/>
          <w:sz w:val="22"/>
        </w:rPr>
        <w:t>i</w:t>
      </w:r>
      <w:r>
        <w:rPr>
          <w:rFonts w:asciiTheme="majorHAnsi" w:hAnsiTheme="majorHAnsi"/>
          <w:sz w:val="22"/>
        </w:rPr>
        <w:t>chern. Die Beratung sollte möglichst vor einem Asylantrag erfolgen. Sie darf sich nicht auf nach dem Asylantrag nach Berlin zugewiesene Asylsuchende beschränken.</w:t>
      </w:r>
    </w:p>
    <w:p w14:paraId="0AF60363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Der AWO, dem BNS und d</w:t>
      </w:r>
      <w:r>
        <w:rPr>
          <w:rFonts w:asciiTheme="majorHAnsi" w:hAnsiTheme="majorHAnsi"/>
          <w:sz w:val="22"/>
        </w:rPr>
        <w:t>er Refugee Law Clinic und ggf. weiteren unabhängigen Beratungsstellen sollten auf dem Gelände des AKuZ frei zugängliche Räume außerhalb des Kontrollbereichs zur Ve</w:t>
      </w:r>
      <w:r>
        <w:rPr>
          <w:rFonts w:asciiTheme="majorHAnsi" w:hAnsiTheme="majorHAnsi"/>
          <w:sz w:val="22"/>
        </w:rPr>
        <w:t>r</w:t>
      </w:r>
      <w:r>
        <w:rPr>
          <w:rFonts w:asciiTheme="majorHAnsi" w:hAnsiTheme="majorHAnsi"/>
          <w:sz w:val="22"/>
        </w:rPr>
        <w:t xml:space="preserve">fügung gestellt werden. </w:t>
      </w:r>
    </w:p>
    <w:p w14:paraId="1AECB559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spezifische Beratungsangebote für asylsuchende Geflücht</w:t>
      </w:r>
      <w:r>
        <w:rPr>
          <w:rFonts w:asciiTheme="majorHAnsi" w:hAnsiTheme="majorHAnsi"/>
          <w:sz w:val="22"/>
        </w:rPr>
        <w:t>ete aus Moldau schaffen.</w:t>
      </w:r>
    </w:p>
    <w:p w14:paraId="05F5DCA5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Die Rechte besonders Schutzbedürftiger nach EU-Asylaufnahme RL sind vor der Asylanhörung durch einen bei Bedarf zu aktualisierenden Feststellungsbescheid des LAF zu gewährleisten, damit das BAMF die Anhörung in angemessener Form du</w:t>
      </w:r>
      <w:r>
        <w:rPr>
          <w:rFonts w:asciiTheme="majorHAnsi" w:hAnsiTheme="majorHAnsi"/>
          <w:sz w:val="22"/>
        </w:rPr>
        <w:t xml:space="preserve">rchführen und den Schutzbedarf berücksichtigen kann. </w:t>
      </w:r>
    </w:p>
    <w:p w14:paraId="441E5A17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Im AKuZ, in Aufnahmeeinrichtungen und Gemeinschaftsunterkünften ist gemäß § 44 IIa AsylG der Schutz von Frauen und weiteren schutzbedürftigen Personen durch Einzel- bzw. Familienappart</w:t>
      </w:r>
      <w:r>
        <w:rPr>
          <w:rFonts w:asciiTheme="majorHAnsi" w:hAnsiTheme="majorHAnsi"/>
          <w:sz w:val="22"/>
        </w:rPr>
        <w:t>e</w:t>
      </w:r>
      <w:r>
        <w:rPr>
          <w:rFonts w:asciiTheme="majorHAnsi" w:hAnsiTheme="majorHAnsi"/>
          <w:sz w:val="22"/>
        </w:rPr>
        <w:t>ments sicherzuste</w:t>
      </w:r>
      <w:r>
        <w:rPr>
          <w:rFonts w:asciiTheme="majorHAnsi" w:hAnsiTheme="majorHAnsi"/>
          <w:sz w:val="22"/>
        </w:rPr>
        <w:t xml:space="preserve">llen. </w:t>
      </w:r>
    </w:p>
    <w:p w14:paraId="5B730E61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dafür einsetzen, die Rechte besonders Schutzbedürftiger nach Art. 21 ff. EU-Asylaufnahme RL, Art. 24 EU-Asylverfahrens RL, Art. 20 EU Flüchtlingsschutz-RL und Art 14 I d EU-Rückführungs-RL vollständig ins deutsche Aufentha</w:t>
      </w:r>
      <w:r>
        <w:rPr>
          <w:rFonts w:asciiTheme="majorHAnsi" w:hAnsiTheme="majorHAnsi"/>
          <w:sz w:val="22"/>
        </w:rPr>
        <w:t>lts- und Sozialrecht zu übernehmen.</w:t>
      </w:r>
    </w:p>
    <w:p w14:paraId="67FB79E6" w14:textId="77777777" w:rsidR="00B40F12" w:rsidRDefault="00B40F12">
      <w:pPr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60"/>
        <w:rPr>
          <w:rFonts w:asciiTheme="majorHAnsi" w:hAnsiTheme="majorHAnsi"/>
          <w:sz w:val="22"/>
          <w:szCs w:val="22"/>
        </w:rPr>
      </w:pPr>
    </w:p>
    <w:p w14:paraId="35806484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12" w:name="_Toc491024265"/>
      <w:bookmarkEnd w:id="12"/>
      <w:r>
        <w:rPr>
          <w:rFonts w:asciiTheme="majorHAnsi" w:hAnsiTheme="majorHAnsi"/>
        </w:rPr>
        <w:t>Auf Aufnahmeeinrichtungen als Abschreckungsinstrument verzichten</w:t>
      </w:r>
    </w:p>
    <w:p w14:paraId="199CEE60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die Wohnpflicht in Asylaufnahmeeinrichtungen so kurz wie möglich halten, um die d</w:t>
      </w:r>
      <w:r>
        <w:rPr>
          <w:rFonts w:asciiTheme="majorHAnsi" w:hAnsiTheme="majorHAnsi"/>
          <w:sz w:val="22"/>
        </w:rPr>
        <w:t>a</w:t>
      </w:r>
      <w:r>
        <w:rPr>
          <w:rFonts w:asciiTheme="majorHAnsi" w:hAnsiTheme="majorHAnsi"/>
          <w:sz w:val="22"/>
        </w:rPr>
        <w:t>mit einhergehende Vollverpflegung, Arbeitsverbote, Residenzpflichten und Verbot einer Mietwo</w:t>
      </w:r>
      <w:r>
        <w:rPr>
          <w:rFonts w:asciiTheme="majorHAnsi" w:hAnsiTheme="majorHAnsi"/>
          <w:sz w:val="22"/>
        </w:rPr>
        <w:t>h</w:t>
      </w:r>
      <w:r>
        <w:rPr>
          <w:rFonts w:asciiTheme="majorHAnsi" w:hAnsiTheme="majorHAnsi"/>
          <w:sz w:val="22"/>
        </w:rPr>
        <w:t xml:space="preserve">nung zu vermeiden. </w:t>
      </w:r>
    </w:p>
    <w:p w14:paraId="3471AB39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In Berlin erfüllt das Ankunftszentrum Reinickendo</w:t>
      </w:r>
      <w:r>
        <w:rPr>
          <w:rFonts w:asciiTheme="majorHAnsi" w:hAnsiTheme="majorHAnsi"/>
          <w:sz w:val="22"/>
        </w:rPr>
        <w:t>rf (AKuZ) alle Funktionen einer Landesaufnahm</w:t>
      </w:r>
      <w:r>
        <w:rPr>
          <w:rFonts w:asciiTheme="majorHAnsi" w:hAnsiTheme="majorHAnsi"/>
          <w:sz w:val="22"/>
        </w:rPr>
        <w:t>e</w:t>
      </w:r>
      <w:r>
        <w:rPr>
          <w:rFonts w:asciiTheme="majorHAnsi" w:hAnsiTheme="majorHAnsi"/>
          <w:sz w:val="22"/>
        </w:rPr>
        <w:t>einrichtung nach AsylG. Berlin muss die weiteren nur formal als "Aufnahmeeinrichtung" bezeichn</w:t>
      </w:r>
      <w:r>
        <w:rPr>
          <w:rFonts w:asciiTheme="majorHAnsi" w:hAnsiTheme="majorHAnsi"/>
          <w:sz w:val="22"/>
        </w:rPr>
        <w:t>e</w:t>
      </w:r>
      <w:r>
        <w:rPr>
          <w:rFonts w:asciiTheme="majorHAnsi" w:hAnsiTheme="majorHAnsi"/>
          <w:sz w:val="22"/>
        </w:rPr>
        <w:t xml:space="preserve">ten LAF-Unterkünfte in "Gemeinschaftsunterkünfte" umwidmen. </w:t>
      </w:r>
    </w:p>
    <w:p w14:paraId="07C27517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für die Abschaffung der Woh</w:t>
      </w:r>
      <w:r>
        <w:rPr>
          <w:rFonts w:asciiTheme="majorHAnsi" w:hAnsiTheme="majorHAnsi"/>
          <w:sz w:val="22"/>
        </w:rPr>
        <w:t xml:space="preserve">npflicht nach §§ 47 und 53 AsylG und der damit verbundenen Ausgrenzung und Entrechtung Schutzsuchender einsetzen. </w:t>
      </w:r>
    </w:p>
    <w:p w14:paraId="4A129C7E" w14:textId="77777777" w:rsidR="00B40F12" w:rsidRDefault="00B40F12">
      <w:pPr>
        <w:widowControl/>
        <w:tabs>
          <w:tab w:val="center" w:pos="4896"/>
          <w:tab w:val="right" w:pos="9432"/>
        </w:tabs>
        <w:suppressAutoHyphens w:val="0"/>
        <w:spacing w:before="160"/>
        <w:rPr>
          <w:rFonts w:asciiTheme="majorHAnsi" w:hAnsiTheme="majorHAnsi"/>
          <w:sz w:val="22"/>
        </w:rPr>
      </w:pPr>
    </w:p>
    <w:p w14:paraId="470A5CE6" w14:textId="77777777" w:rsidR="00B40F12" w:rsidRDefault="00B40F12">
      <w:pPr>
        <w:widowControl/>
        <w:tabs>
          <w:tab w:val="center" w:pos="4896"/>
          <w:tab w:val="right" w:pos="9432"/>
        </w:tabs>
        <w:suppressAutoHyphens w:val="0"/>
        <w:spacing w:before="160"/>
        <w:rPr>
          <w:rFonts w:asciiTheme="majorHAnsi" w:hAnsiTheme="majorHAnsi"/>
          <w:sz w:val="22"/>
        </w:rPr>
      </w:pPr>
    </w:p>
    <w:p w14:paraId="739AB633" w14:textId="77777777" w:rsidR="00B40F12" w:rsidRDefault="00D97422">
      <w:pPr>
        <w:pStyle w:val="berschrift2"/>
        <w:widowControl/>
        <w:numPr>
          <w:ilvl w:val="1"/>
          <w:numId w:val="2"/>
        </w:numPr>
        <w:spacing w:before="160"/>
        <w:rPr>
          <w:rFonts w:asciiTheme="majorHAnsi" w:hAnsiTheme="majorHAnsi"/>
        </w:rPr>
      </w:pPr>
      <w:bookmarkStart w:id="13" w:name="_Toc491599976"/>
      <w:r>
        <w:rPr>
          <w:rFonts w:asciiTheme="majorHAnsi" w:hAnsiTheme="majorHAnsi"/>
        </w:rPr>
        <w:t xml:space="preserve">Menschenwürdiges Existenzminimum </w:t>
      </w:r>
      <w:bookmarkEnd w:id="13"/>
      <w:r>
        <w:rPr>
          <w:rFonts w:asciiTheme="majorHAnsi" w:hAnsiTheme="majorHAnsi"/>
        </w:rPr>
        <w:t>sicherstellen</w:t>
      </w:r>
    </w:p>
    <w:p w14:paraId="114CA9C8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auf migrationspolitisch motivierte Kürzungen und Ausschlüsse für Geflüchtete und</w:t>
      </w:r>
      <w:r>
        <w:rPr>
          <w:rFonts w:asciiTheme="majorHAnsi" w:hAnsiTheme="majorHAnsi"/>
          <w:sz w:val="22"/>
        </w:rPr>
        <w:t xml:space="preserve"> Un</w:t>
      </w:r>
      <w:r>
        <w:rPr>
          <w:rFonts w:asciiTheme="majorHAnsi" w:hAnsiTheme="majorHAnsi"/>
          <w:sz w:val="22"/>
        </w:rPr>
        <w:t>i</w:t>
      </w:r>
      <w:r>
        <w:rPr>
          <w:rFonts w:asciiTheme="majorHAnsi" w:hAnsiTheme="majorHAnsi"/>
          <w:sz w:val="22"/>
        </w:rPr>
        <w:t xml:space="preserve">onsbürger vom Existenzminimums nach AsylbLG, SGB II bzw. SGB XII verzichten (§ 1a AsylbLG, § 1 IV AsylbLG, § 7 I SGB II, § 23 III SGB XII). </w:t>
      </w:r>
    </w:p>
    <w:p w14:paraId="451A1CD2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Berlin muss auf Kleidungsgutscheine und Vollverpflegung verzichten und Sozialleistungen in bar auszahlen. </w:t>
      </w:r>
    </w:p>
    <w:p w14:paraId="15D082DA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</w:t>
      </w:r>
      <w:r>
        <w:rPr>
          <w:rFonts w:asciiTheme="majorHAnsi" w:hAnsiTheme="majorHAnsi"/>
          <w:sz w:val="22"/>
        </w:rPr>
        <w:t>in muss – zumal in der Pandemie - auf die verfassungswidrige 10 %-Kürzung des Existenzmin</w:t>
      </w:r>
      <w:r>
        <w:rPr>
          <w:rFonts w:asciiTheme="majorHAnsi" w:hAnsiTheme="majorHAnsi"/>
          <w:sz w:val="22"/>
        </w:rPr>
        <w:t>i</w:t>
      </w:r>
      <w:r>
        <w:rPr>
          <w:rFonts w:asciiTheme="majorHAnsi" w:hAnsiTheme="majorHAnsi"/>
          <w:sz w:val="22"/>
        </w:rPr>
        <w:t>mums  für Alleinstehende und Alleinerziehende in Sammelunterkünften wegen angeblichen g</w:t>
      </w:r>
      <w:r>
        <w:rPr>
          <w:rFonts w:asciiTheme="majorHAnsi" w:hAnsiTheme="majorHAnsi"/>
          <w:sz w:val="22"/>
        </w:rPr>
        <w:t>e</w:t>
      </w:r>
      <w:r>
        <w:rPr>
          <w:rFonts w:asciiTheme="majorHAnsi" w:hAnsiTheme="majorHAnsi"/>
          <w:sz w:val="22"/>
        </w:rPr>
        <w:t xml:space="preserve">meinsamen Wirtschaftens verzichten. </w:t>
      </w:r>
    </w:p>
    <w:p w14:paraId="7B38A182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für die Abscha</w:t>
      </w:r>
      <w:r>
        <w:rPr>
          <w:rFonts w:asciiTheme="majorHAnsi" w:hAnsiTheme="majorHAnsi"/>
          <w:sz w:val="22"/>
        </w:rPr>
        <w:t>ffung des AsylbLG einsetzen.</w:t>
      </w:r>
    </w:p>
    <w:p w14:paraId="469900E5" w14:textId="77777777" w:rsidR="00B40F12" w:rsidRDefault="00B40F12">
      <w:pPr>
        <w:widowControl/>
        <w:suppressAutoHyphens w:val="0"/>
        <w:spacing w:before="160"/>
        <w:rPr>
          <w:rFonts w:asciiTheme="majorHAnsi" w:hAnsiTheme="majorHAnsi"/>
          <w:sz w:val="22"/>
          <w:szCs w:val="22"/>
        </w:rPr>
      </w:pPr>
    </w:p>
    <w:p w14:paraId="76C43704" w14:textId="77777777" w:rsidR="00B40F12" w:rsidRDefault="00B40F12">
      <w:pPr>
        <w:widowControl/>
        <w:suppressAutoHyphens w:val="0"/>
        <w:spacing w:before="160"/>
        <w:rPr>
          <w:rFonts w:asciiTheme="majorHAnsi" w:hAnsiTheme="majorHAnsi"/>
          <w:sz w:val="22"/>
          <w:szCs w:val="22"/>
        </w:rPr>
      </w:pPr>
    </w:p>
    <w:p w14:paraId="607F8EE2" w14:textId="77777777" w:rsidR="00B40F12" w:rsidRDefault="00D97422">
      <w:pPr>
        <w:pStyle w:val="berschrift2"/>
        <w:widowControl/>
        <w:numPr>
          <w:ilvl w:val="1"/>
          <w:numId w:val="2"/>
        </w:numPr>
        <w:spacing w:before="160"/>
        <w:rPr>
          <w:rFonts w:asciiTheme="majorHAnsi" w:hAnsiTheme="majorHAnsi"/>
        </w:rPr>
      </w:pPr>
      <w:bookmarkStart w:id="14" w:name="_Toc491024279"/>
      <w:bookmarkEnd w:id="14"/>
      <w:r>
        <w:rPr>
          <w:rFonts w:asciiTheme="majorHAnsi" w:hAnsiTheme="majorHAnsi"/>
        </w:rPr>
        <w:t>Gesundheit für alle</w:t>
      </w:r>
    </w:p>
    <w:p w14:paraId="18996CD0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Die Clearingstelle für Menschen ohne Krankenversicherung bei der Berliner Stadtmission und der zugehörige Fonds müssen fortgeführt und weiterentwickelt werden. </w:t>
      </w:r>
    </w:p>
    <w:p w14:paraId="50F032F1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braucht einen kostenlosen medizinisch</w:t>
      </w:r>
      <w:r>
        <w:rPr>
          <w:rFonts w:asciiTheme="majorHAnsi" w:hAnsiTheme="majorHAnsi"/>
          <w:sz w:val="22"/>
        </w:rPr>
        <w:t xml:space="preserve">en Dolmetscher*innenpool. Dieser muss anders als </w:t>
      </w:r>
      <w:r>
        <w:rPr>
          <w:rFonts w:asciiTheme="majorHAnsi" w:hAnsiTheme="majorHAnsi"/>
          <w:i/>
          <w:iCs/>
          <w:sz w:val="22"/>
        </w:rPr>
        <w:t>Sprint Berlin</w:t>
      </w:r>
      <w:r>
        <w:rPr>
          <w:rFonts w:asciiTheme="majorHAnsi" w:hAnsiTheme="majorHAnsi"/>
          <w:sz w:val="22"/>
        </w:rPr>
        <w:t xml:space="preserve"> allen Betroffenen und ambulanten Einrichtungen zur Verfügung stehen. </w:t>
      </w:r>
    </w:p>
    <w:p w14:paraId="29DF170D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die Praxis der Bezirksämter ändern, vom Alg 2 ausgeschlossenen Unionsbürger*innen systematisch die im Notfall v</w:t>
      </w:r>
      <w:r>
        <w:rPr>
          <w:rFonts w:asciiTheme="majorHAnsi" w:hAnsiTheme="majorHAnsi"/>
          <w:sz w:val="22"/>
        </w:rPr>
        <w:t xml:space="preserve">orgesehene Krankenhilfe nach dem SGB XII zu verweigern. </w:t>
      </w:r>
    </w:p>
    <w:p w14:paraId="6E841CD8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in und außerhalb von Sammelunterkünften mehrsprachige Aufklärung zu Pandemie und Impfungen, zu den jeweiligen Corona-Regeln und zu Impfangebote leisten. In den Unterkünften sind FFP2-Mask</w:t>
      </w:r>
      <w:r>
        <w:rPr>
          <w:rFonts w:asciiTheme="majorHAnsi" w:hAnsiTheme="majorHAnsi"/>
          <w:sz w:val="22"/>
        </w:rPr>
        <w:t>en, Tests und -  ggf. erneut - Impfangebote zu machen.</w:t>
      </w:r>
    </w:p>
    <w:p w14:paraId="5D53837A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für die Einbeziehung aller AsylbLG- und SGB XII-Berechtigten in die GKV, die Streichung aller Ausschlüsse Nichtdeutscher vom Zugang zur GKV und die Übernahme notwe</w:t>
      </w:r>
      <w:r>
        <w:rPr>
          <w:rFonts w:asciiTheme="majorHAnsi" w:hAnsiTheme="majorHAnsi"/>
          <w:sz w:val="22"/>
        </w:rPr>
        <w:t>n</w:t>
      </w:r>
      <w:r>
        <w:rPr>
          <w:rFonts w:asciiTheme="majorHAnsi" w:hAnsiTheme="majorHAnsi"/>
          <w:sz w:val="22"/>
        </w:rPr>
        <w:t>diger Dolm</w:t>
      </w:r>
      <w:r>
        <w:rPr>
          <w:rFonts w:asciiTheme="majorHAnsi" w:hAnsiTheme="majorHAnsi"/>
          <w:sz w:val="22"/>
        </w:rPr>
        <w:t>etscherkosten nach dem SGB V einsetzen.</w:t>
      </w:r>
    </w:p>
    <w:p w14:paraId="67E7C6A5" w14:textId="77777777" w:rsidR="00B40F12" w:rsidRDefault="00B40F12">
      <w:pPr>
        <w:pStyle w:val="HTMLVorformatiert"/>
        <w:widowControl/>
        <w:spacing w:before="160" w:line="240" w:lineRule="auto"/>
        <w:rPr>
          <w:rFonts w:asciiTheme="majorHAnsi" w:hAnsiTheme="majorHAnsi"/>
          <w:sz w:val="22"/>
        </w:rPr>
      </w:pPr>
    </w:p>
    <w:p w14:paraId="41BC944A" w14:textId="77777777" w:rsidR="00B40F12" w:rsidRDefault="00B40F12">
      <w:pPr>
        <w:pStyle w:val="HTMLVorformatiert"/>
        <w:widowControl/>
        <w:spacing w:before="160" w:line="240" w:lineRule="auto"/>
        <w:rPr>
          <w:rFonts w:asciiTheme="majorHAnsi" w:hAnsiTheme="majorHAnsi"/>
          <w:sz w:val="22"/>
        </w:rPr>
      </w:pPr>
    </w:p>
    <w:p w14:paraId="7A91A762" w14:textId="77777777" w:rsidR="00B40F12" w:rsidRDefault="00D97422">
      <w:pPr>
        <w:pStyle w:val="berschrift2"/>
        <w:widowControl/>
        <w:numPr>
          <w:ilvl w:val="1"/>
          <w:numId w:val="2"/>
        </w:numPr>
        <w:spacing w:before="160"/>
        <w:rPr>
          <w:rFonts w:asciiTheme="majorHAnsi" w:hAnsiTheme="majorHAnsi"/>
          <w:sz w:val="16"/>
        </w:rPr>
      </w:pPr>
      <w:bookmarkStart w:id="15" w:name="_Toc491599977"/>
      <w:bookmarkStart w:id="16" w:name="_Toc491024280"/>
      <w:r>
        <w:rPr>
          <w:rFonts w:asciiTheme="majorHAnsi" w:hAnsiTheme="majorHAnsi"/>
        </w:rPr>
        <w:t xml:space="preserve">Zugang zu Wohnungen statt </w:t>
      </w:r>
      <w:bookmarkEnd w:id="15"/>
      <w:bookmarkEnd w:id="16"/>
      <w:r>
        <w:rPr>
          <w:rFonts w:asciiTheme="majorHAnsi" w:hAnsiTheme="majorHAnsi"/>
        </w:rPr>
        <w:t>Wohnungslosigkeit auf Dauer</w:t>
      </w:r>
      <w:r>
        <w:rPr>
          <w:rFonts w:asciiTheme="majorHAnsi" w:hAnsiTheme="majorHAnsi"/>
        </w:rPr>
        <w:br/>
      </w:r>
    </w:p>
    <w:p w14:paraId="40CF45E6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Zugang zu Wohnungen besser unterstützen </w:t>
      </w:r>
    </w:p>
    <w:p w14:paraId="6AB96696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Sammelunterkünfte für Geflüchtete und Wohnungslose stigmatisieren nach außen und innen. Sie machen die Menschen auf Dauer psychisch und physisch krank. Prioritär ist der Zugang zu Wohnu</w:t>
      </w:r>
      <w:r>
        <w:rPr>
          <w:rFonts w:asciiTheme="majorHAnsi" w:hAnsiTheme="majorHAnsi"/>
          <w:sz w:val="22"/>
        </w:rPr>
        <w:t>n</w:t>
      </w:r>
      <w:r>
        <w:rPr>
          <w:rFonts w:asciiTheme="majorHAnsi" w:hAnsiTheme="majorHAnsi"/>
          <w:sz w:val="22"/>
        </w:rPr>
        <w:t xml:space="preserve">gen zu unterstützen. </w:t>
      </w:r>
    </w:p>
    <w:p w14:paraId="65A1871E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Der Senat muss berlinweit dezentrale Fachberatun</w:t>
      </w:r>
      <w:r>
        <w:rPr>
          <w:rFonts w:asciiTheme="majorHAnsi" w:hAnsiTheme="majorHAnsi"/>
          <w:sz w:val="22"/>
        </w:rPr>
        <w:t>gsstellen für wohnungssuchende Geflüchtete unabhängig vom Aufenthaltsstatus, zur Akquise bei potentiellen Vermieter*innen und als Ansprec</w:t>
      </w:r>
      <w:r>
        <w:rPr>
          <w:rFonts w:asciiTheme="majorHAnsi" w:hAnsiTheme="majorHAnsi"/>
          <w:sz w:val="22"/>
        </w:rPr>
        <w:t>h</w:t>
      </w:r>
      <w:r>
        <w:rPr>
          <w:rFonts w:asciiTheme="majorHAnsi" w:hAnsiTheme="majorHAnsi"/>
          <w:sz w:val="22"/>
        </w:rPr>
        <w:t>partner bei Problemen im Mietverhältnis finanzieren.</w:t>
      </w:r>
    </w:p>
    <w:p w14:paraId="00C9890E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Jobcenter und Sozialämter müssen wie bereits das LAF untergebrach</w:t>
      </w:r>
      <w:r>
        <w:rPr>
          <w:rFonts w:asciiTheme="majorHAnsi" w:hAnsiTheme="majorHAnsi"/>
          <w:sz w:val="22"/>
        </w:rPr>
        <w:t>ten Geflüchteten und Wo</w:t>
      </w:r>
      <w:r>
        <w:rPr>
          <w:rFonts w:asciiTheme="majorHAnsi" w:hAnsiTheme="majorHAnsi"/>
          <w:sz w:val="22"/>
        </w:rPr>
        <w:t>h</w:t>
      </w:r>
      <w:r>
        <w:rPr>
          <w:rFonts w:asciiTheme="majorHAnsi" w:hAnsiTheme="majorHAnsi"/>
          <w:sz w:val="22"/>
        </w:rPr>
        <w:t>nungslosen von Amts wegen Miet- und Kautionsübernahmescheine vorab zur Wohnungssuche zur Vorlage beim Vermieter nach Wahl ausstellen.</w:t>
      </w:r>
    </w:p>
    <w:p w14:paraId="4E9B9AED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Mieterhöhungen und Nachzahlungen sind fristgerecht zu übernehmen. Die Praxis langandauernder klein</w:t>
      </w:r>
      <w:r>
        <w:rPr>
          <w:rFonts w:asciiTheme="majorHAnsi" w:hAnsiTheme="majorHAnsi"/>
          <w:sz w:val="22"/>
        </w:rPr>
        <w:t>licher Prüfungen durch das LAF gefährdet bestehende Mietverhältnisse.</w:t>
      </w:r>
    </w:p>
    <w:p w14:paraId="429362D2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Kontingente und Mietgarantien analog des geschützten Marktsegments und des Ve</w:t>
      </w:r>
      <w:r>
        <w:rPr>
          <w:rFonts w:asciiTheme="majorHAnsi" w:hAnsiTheme="majorHAnsi"/>
          <w:sz w:val="22"/>
        </w:rPr>
        <w:t>r</w:t>
      </w:r>
      <w:r>
        <w:rPr>
          <w:rFonts w:asciiTheme="majorHAnsi" w:hAnsiTheme="majorHAnsi"/>
          <w:sz w:val="22"/>
        </w:rPr>
        <w:t xml:space="preserve">trags WfF über die Landeseigenen hinaus mit weiteren Vermieter*innen vereinbaren. </w:t>
      </w:r>
    </w:p>
    <w:p w14:paraId="2B42E6BC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den landeseigenen Wohnungsgesellschaften ausgrenzende Wohnungsangebote unte</w:t>
      </w:r>
      <w:r>
        <w:rPr>
          <w:rFonts w:asciiTheme="majorHAnsi" w:hAnsiTheme="majorHAnsi"/>
          <w:sz w:val="22"/>
        </w:rPr>
        <w:t>r</w:t>
      </w:r>
      <w:r>
        <w:rPr>
          <w:rFonts w:asciiTheme="majorHAnsi" w:hAnsiTheme="majorHAnsi"/>
          <w:sz w:val="22"/>
        </w:rPr>
        <w:t xml:space="preserve">sagen, die z.B. eine Mindestlaufzeit des aktuellen Aufenthaltstitels von einem Jahr fordern. </w:t>
      </w:r>
    </w:p>
    <w:p w14:paraId="409A88F9" w14:textId="77777777" w:rsidR="00B40F12" w:rsidRDefault="00B40F12">
      <w:pPr>
        <w:widowControl/>
        <w:suppressAutoHyphens w:val="0"/>
        <w:spacing w:before="160"/>
        <w:rPr>
          <w:rFonts w:asciiTheme="majorHAnsi" w:hAnsiTheme="majorHAnsi"/>
          <w:sz w:val="22"/>
          <w:szCs w:val="22"/>
        </w:rPr>
      </w:pPr>
    </w:p>
    <w:p w14:paraId="038587A9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17" w:name="_Toc491024282"/>
      <w:bookmarkEnd w:id="17"/>
      <w:r>
        <w:rPr>
          <w:rFonts w:asciiTheme="majorHAnsi" w:hAnsiTheme="majorHAnsi"/>
        </w:rPr>
        <w:t>WBS unabhängig vom Aufenthaltsstatus – WBS als Vergabeinstrument für Wohn</w:t>
      </w:r>
      <w:r>
        <w:rPr>
          <w:rFonts w:asciiTheme="majorHAnsi" w:hAnsiTheme="majorHAnsi"/>
        </w:rPr>
        <w:t xml:space="preserve">ungslose </w:t>
      </w:r>
    </w:p>
    <w:p w14:paraId="34B211A6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braucht ein Landesgesetz zum Wohnberechtigungsschein (WBS), das Anspruch, Dringlichkeit und Wohnungsvergabe an Wohnungslose und andere Bedarfsgruppen regelt.</w:t>
      </w:r>
    </w:p>
    <w:p w14:paraId="2E5BCA13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Mit Hilfe des Landesgesetzes soll der WBS zum maßgeblichen Vergabeinstrument für </w:t>
      </w:r>
      <w:r>
        <w:rPr>
          <w:rFonts w:asciiTheme="majorHAnsi" w:hAnsiTheme="majorHAnsi"/>
          <w:sz w:val="22"/>
        </w:rPr>
        <w:t xml:space="preserve">die ca. 100.000 Sozialwohnungen sowie die ca. 300.000 landeseigenen Wohnungen werden. </w:t>
      </w:r>
    </w:p>
    <w:p w14:paraId="1263FA4B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lastRenderedPageBreak/>
        <w:t>Das Landesgesetz muss den Zugang zum WBS unabhängig von Staatsangehörigkeit, Aufenthaltsst</w:t>
      </w:r>
      <w:r>
        <w:rPr>
          <w:rFonts w:asciiTheme="majorHAnsi" w:hAnsiTheme="majorHAnsi"/>
          <w:sz w:val="22"/>
        </w:rPr>
        <w:t>a</w:t>
      </w:r>
      <w:r>
        <w:rPr>
          <w:rFonts w:asciiTheme="majorHAnsi" w:hAnsiTheme="majorHAnsi"/>
          <w:sz w:val="22"/>
        </w:rPr>
        <w:t>tus und ggf. anstehender Verlängerung des Aufenthaltstitels eröffnen.</w:t>
      </w:r>
    </w:p>
    <w:p w14:paraId="2085DC59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Wohnungs</w:t>
      </w:r>
      <w:r>
        <w:rPr>
          <w:rFonts w:asciiTheme="majorHAnsi" w:hAnsiTheme="majorHAnsi"/>
          <w:sz w:val="22"/>
        </w:rPr>
        <w:t>lose in LAF- und ASOG-Unterkünften, Frauenhäusern, Kältehilfe usw. müssen unabhängig vom Aufenthaltsstatus einen WBS höchster Dringlichkeitsstufe erhalten.</w:t>
      </w:r>
    </w:p>
    <w:p w14:paraId="4A6318A6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auf Basis des WBS mit Dringlichkeit ein verbindliches Zuweisungsverfahren für landese</w:t>
      </w:r>
      <w:r>
        <w:rPr>
          <w:rFonts w:asciiTheme="majorHAnsi" w:hAnsiTheme="majorHAnsi"/>
          <w:sz w:val="22"/>
        </w:rPr>
        <w:t>i</w:t>
      </w:r>
      <w:r>
        <w:rPr>
          <w:rFonts w:asciiTheme="majorHAnsi" w:hAnsiTheme="majorHAnsi"/>
          <w:sz w:val="22"/>
        </w:rPr>
        <w:t>ge</w:t>
      </w:r>
      <w:r>
        <w:rPr>
          <w:rFonts w:asciiTheme="majorHAnsi" w:hAnsiTheme="majorHAnsi"/>
          <w:sz w:val="22"/>
        </w:rPr>
        <w:t xml:space="preserve">ne und Sozialwohnungen über die hierfür zu stärkenden Wohnungsämter umsetzen. </w:t>
      </w:r>
    </w:p>
    <w:p w14:paraId="56B57BBC" w14:textId="77777777" w:rsidR="00B40F12" w:rsidRDefault="00B40F12">
      <w:pPr>
        <w:widowControl/>
        <w:tabs>
          <w:tab w:val="center" w:pos="4896"/>
          <w:tab w:val="right" w:pos="9432"/>
        </w:tabs>
        <w:suppressAutoHyphens w:val="0"/>
        <w:spacing w:before="160"/>
        <w:rPr>
          <w:rFonts w:asciiTheme="majorHAnsi" w:hAnsiTheme="majorHAnsi"/>
          <w:sz w:val="22"/>
        </w:rPr>
      </w:pPr>
    </w:p>
    <w:p w14:paraId="0B58B690" w14:textId="77777777" w:rsidR="00B40F12" w:rsidRDefault="00B40F12">
      <w:pPr>
        <w:widowControl/>
        <w:tabs>
          <w:tab w:val="center" w:pos="4896"/>
          <w:tab w:val="right" w:pos="9432"/>
        </w:tabs>
        <w:suppressAutoHyphens w:val="0"/>
        <w:spacing w:before="160"/>
        <w:rPr>
          <w:rFonts w:asciiTheme="majorHAnsi" w:hAnsiTheme="majorHAnsi"/>
          <w:sz w:val="22"/>
        </w:rPr>
      </w:pPr>
    </w:p>
    <w:p w14:paraId="65606EED" w14:textId="77777777" w:rsidR="00B40F12" w:rsidRDefault="00D97422">
      <w:pPr>
        <w:pStyle w:val="berschrift2"/>
        <w:widowControl/>
        <w:numPr>
          <w:ilvl w:val="1"/>
          <w:numId w:val="2"/>
        </w:numPr>
        <w:spacing w:before="160"/>
        <w:rPr>
          <w:rFonts w:asciiTheme="majorHAnsi" w:hAnsiTheme="majorHAnsi"/>
        </w:rPr>
      </w:pPr>
      <w:r>
        <w:rPr>
          <w:rFonts w:asciiTheme="majorHAnsi" w:hAnsiTheme="majorHAnsi"/>
        </w:rPr>
        <w:t>Qualitätsstandards für Geflüchteten- und Wohnungslosenunterkünfte</w:t>
      </w:r>
    </w:p>
    <w:p w14:paraId="3F8C7847" w14:textId="77777777" w:rsidR="00B40F12" w:rsidRDefault="00B40F12">
      <w:pPr>
        <w:widowControl/>
        <w:tabs>
          <w:tab w:val="center" w:pos="4896"/>
          <w:tab w:val="right" w:pos="9432"/>
        </w:tabs>
        <w:suppressAutoHyphens w:val="0"/>
        <w:spacing w:before="160"/>
        <w:rPr>
          <w:rFonts w:asciiTheme="majorHAnsi" w:hAnsiTheme="majorHAnsi"/>
          <w:sz w:val="16"/>
        </w:rPr>
      </w:pPr>
    </w:p>
    <w:p w14:paraId="0AEF1124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18" w:name="_Toc491024283"/>
      <w:bookmarkEnd w:id="18"/>
      <w:r>
        <w:rPr>
          <w:rFonts w:asciiTheme="majorHAnsi" w:hAnsiTheme="majorHAnsi"/>
        </w:rPr>
        <w:t xml:space="preserve">Qualitätsstandards für LAF und ASOG-Unterkünfte </w:t>
      </w:r>
    </w:p>
    <w:p w14:paraId="10714149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Für die ASOG-Unterbringung wohnungsloser Menschen müssen wi</w:t>
      </w:r>
      <w:r>
        <w:rPr>
          <w:rFonts w:asciiTheme="majorHAnsi" w:hAnsiTheme="majorHAnsi"/>
          <w:sz w:val="22"/>
        </w:rPr>
        <w:t>e beim LAF berlinweit Standards für Qualität und Ausstattung, Belegung, Personalschlüssel, Sprachmittlung, Aufgaben der Soziala</w:t>
      </w:r>
      <w:r>
        <w:rPr>
          <w:rFonts w:asciiTheme="majorHAnsi" w:hAnsiTheme="majorHAnsi"/>
          <w:sz w:val="22"/>
        </w:rPr>
        <w:t>r</w:t>
      </w:r>
      <w:r>
        <w:rPr>
          <w:rFonts w:asciiTheme="majorHAnsi" w:hAnsiTheme="majorHAnsi"/>
          <w:sz w:val="22"/>
        </w:rPr>
        <w:t>beiter*innen usw. vertraglich sichergestellt werden.</w:t>
      </w:r>
    </w:p>
    <w:p w14:paraId="63E251A1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Berlin muss das AZG ändern, um die Zuständigkeit für Vergabe, Verträge und </w:t>
      </w:r>
      <w:r>
        <w:rPr>
          <w:rFonts w:asciiTheme="majorHAnsi" w:hAnsiTheme="majorHAnsi"/>
          <w:sz w:val="22"/>
        </w:rPr>
        <w:t>Qualitätskontrolle für ASOG-Unterkünfte einheitlich beim Land anzusiedeln.</w:t>
      </w:r>
    </w:p>
    <w:p w14:paraId="7C626B98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bookmarkStart w:id="19" w:name="_Toc491024284"/>
      <w:bookmarkEnd w:id="19"/>
      <w:r>
        <w:rPr>
          <w:rFonts w:asciiTheme="majorHAnsi" w:hAnsiTheme="majorHAnsi"/>
          <w:sz w:val="22"/>
        </w:rPr>
        <w:t>Unterkünfte sind in Appartementstruktur bereitzustellen. Sie müssen ein größtmögliches Maß an Selbstbestimmung ermöglichen (eigene Briefkästen, Türöffner/Klingeln, Verzicht auf Secu</w:t>
      </w:r>
      <w:r>
        <w:rPr>
          <w:rFonts w:asciiTheme="majorHAnsi" w:hAnsiTheme="majorHAnsi"/>
          <w:sz w:val="22"/>
        </w:rPr>
        <w:t>rities, Ve</w:t>
      </w:r>
      <w:r>
        <w:rPr>
          <w:rFonts w:asciiTheme="majorHAnsi" w:hAnsiTheme="majorHAnsi"/>
          <w:sz w:val="22"/>
        </w:rPr>
        <w:t>r</w:t>
      </w:r>
      <w:r>
        <w:rPr>
          <w:rFonts w:asciiTheme="majorHAnsi" w:hAnsiTheme="majorHAnsi"/>
          <w:sz w:val="22"/>
        </w:rPr>
        <w:t xml:space="preserve">zicht auf Mehrbettzimmer etc.). Unterkünfte mit Sammelbädern und Gemeinschaftsküchen sind auch im Hinblick auf die Pandemie ungeeignet und schnellstmöglich zu schließen. </w:t>
      </w:r>
    </w:p>
    <w:p w14:paraId="66C6ABD0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Die Grundrechte auf Information und Bildung sind für Erwachsene und Kinder</w:t>
      </w:r>
      <w:r>
        <w:rPr>
          <w:rFonts w:asciiTheme="majorHAnsi" w:hAnsiTheme="majorHAnsi"/>
          <w:sz w:val="22"/>
        </w:rPr>
        <w:t xml:space="preserve"> zu gewährleisten. Dafür ist ein leistungsstarkes WLAN in allen Wohnbereichen herzustellen. </w:t>
      </w:r>
    </w:p>
    <w:p w14:paraId="6EBA45AB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Bewohner*innenrechte, Hausordnung, Gebührenregelung und Aufgaben der Sozialarbeit sind in einer für die Bewohner*innen verständlichen Sprache transparent bekannt z</w:t>
      </w:r>
      <w:r>
        <w:rPr>
          <w:rFonts w:asciiTheme="majorHAnsi" w:hAnsiTheme="majorHAnsi"/>
          <w:sz w:val="22"/>
        </w:rPr>
        <w:t xml:space="preserve">u machen. </w:t>
      </w:r>
    </w:p>
    <w:p w14:paraId="7B0F9BAA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Die Rechte besonders Schutzbedürftiger sind zu beachten (Barrierefreiheit, Einzelappartements bei psychischer Krankheit usw., Kinderschutz, Schutz allein reisender Frauen usw.).</w:t>
      </w:r>
    </w:p>
    <w:p w14:paraId="20D3D45A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Die Mindestflächen nach § 7 Berliner Wohnungsaufsichtsgesetz dürfen</w:t>
      </w:r>
      <w:r>
        <w:rPr>
          <w:rFonts w:asciiTheme="majorHAnsi" w:hAnsiTheme="majorHAnsi"/>
          <w:sz w:val="22"/>
        </w:rPr>
        <w:t xml:space="preserve"> in den Unter</w:t>
      </w:r>
      <w:r>
        <w:rPr>
          <w:rFonts w:asciiTheme="majorHAnsi" w:hAnsiTheme="majorHAnsi"/>
          <w:sz w:val="22"/>
        </w:rPr>
        <w:softHyphen/>
        <w:t xml:space="preserve">künften nicht unterschritten werden. Dies ist in der AV Wohnungsaufsichtsgesetz klarzustellen. </w:t>
      </w:r>
    </w:p>
    <w:p w14:paraId="79864374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Auf Zäune und uniformierte Security ist zu verzichten. Eine 24/7 ansprechbare Pforte/Concierge reicht aus.</w:t>
      </w:r>
    </w:p>
    <w:p w14:paraId="2ED6B346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Vorübergehende begründete Abwesenheit a</w:t>
      </w:r>
      <w:r>
        <w:rPr>
          <w:rFonts w:asciiTheme="majorHAnsi" w:hAnsiTheme="majorHAnsi"/>
          <w:sz w:val="22"/>
        </w:rPr>
        <w:t>uch über 3 Tage hinaus darf nicht zum Verlust des U</w:t>
      </w:r>
      <w:r>
        <w:rPr>
          <w:rFonts w:asciiTheme="majorHAnsi" w:hAnsiTheme="majorHAnsi"/>
          <w:sz w:val="22"/>
        </w:rPr>
        <w:t>n</w:t>
      </w:r>
      <w:r>
        <w:rPr>
          <w:rFonts w:asciiTheme="majorHAnsi" w:hAnsiTheme="majorHAnsi"/>
          <w:sz w:val="22"/>
        </w:rPr>
        <w:t>terkunftsplatzes führen. Vorübergehender Besuch muss auch über Nacht möglich sein.</w:t>
      </w:r>
    </w:p>
    <w:p w14:paraId="7DA86143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Hausverbote sind möglichst zu vermeiden. Bei unangemessenem Verhalten ist stets zu prüfen, ob eine besondere Schutzbedürf</w:t>
      </w:r>
      <w:r>
        <w:rPr>
          <w:rFonts w:asciiTheme="majorHAnsi" w:hAnsiTheme="majorHAnsi"/>
          <w:sz w:val="22"/>
        </w:rPr>
        <w:t>tigkeit und ein entsprechender Unterstützungsbedarf vorliegen (z.B. psychische Erkrankung, Drogenabhängigkeit).</w:t>
      </w:r>
    </w:p>
    <w:p w14:paraId="3FA84991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Bei Ausschreibungen sind ständige Betreiberwechsel zu vermeiden. Bei Vergaben sind eine Evaluat</w:t>
      </w:r>
      <w:r>
        <w:rPr>
          <w:rFonts w:asciiTheme="majorHAnsi" w:hAnsiTheme="majorHAnsi"/>
          <w:sz w:val="22"/>
        </w:rPr>
        <w:t>i</w:t>
      </w:r>
      <w:r>
        <w:rPr>
          <w:rFonts w:asciiTheme="majorHAnsi" w:hAnsiTheme="majorHAnsi"/>
          <w:sz w:val="22"/>
        </w:rPr>
        <w:t>on der Unterkunft und Erfahrungen mit dem Betrei</w:t>
      </w:r>
      <w:r>
        <w:rPr>
          <w:rFonts w:asciiTheme="majorHAnsi" w:hAnsiTheme="majorHAnsi"/>
          <w:sz w:val="22"/>
        </w:rPr>
        <w:t>ber zu berücksichtigen (Heim-TÜV). Eine Verg</w:t>
      </w:r>
      <w:r>
        <w:rPr>
          <w:rFonts w:asciiTheme="majorHAnsi" w:hAnsiTheme="majorHAnsi"/>
          <w:sz w:val="22"/>
        </w:rPr>
        <w:t>ü</w:t>
      </w:r>
      <w:r>
        <w:rPr>
          <w:rFonts w:asciiTheme="majorHAnsi" w:hAnsiTheme="majorHAnsi"/>
          <w:sz w:val="22"/>
        </w:rPr>
        <w:t>tung des Personals analog TVÖD ist sicherzustellen.</w:t>
      </w:r>
    </w:p>
    <w:p w14:paraId="361B0DD4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Die Berliner unabhängige Beschwerdestelle BuBS für LAF-Unterkünfte muss auf Kältehilfe- und ASOG-Unterkünfte ausgeweitet werden.  Die BuBS muss künftig auch Be</w:t>
      </w:r>
      <w:r>
        <w:rPr>
          <w:rFonts w:asciiTheme="majorHAnsi" w:hAnsiTheme="majorHAnsi"/>
          <w:sz w:val="22"/>
        </w:rPr>
        <w:t>schwerden über einzelne Mitarbeiter*innen bearbeiten, Beschwerden nachverfolgen, Hilfe bei der Rechtsdurchsetzung lei</w:t>
      </w:r>
      <w:r>
        <w:rPr>
          <w:rFonts w:asciiTheme="majorHAnsi" w:hAnsiTheme="majorHAnsi"/>
          <w:sz w:val="22"/>
        </w:rPr>
        <w:t>s</w:t>
      </w:r>
      <w:r>
        <w:rPr>
          <w:rFonts w:asciiTheme="majorHAnsi" w:hAnsiTheme="majorHAnsi"/>
          <w:sz w:val="22"/>
        </w:rPr>
        <w:t xml:space="preserve">ten und eigenständig Öffentlichkeitsarbeit leisten dürfen. </w:t>
      </w:r>
    </w:p>
    <w:p w14:paraId="46EE42CD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lastRenderedPageBreak/>
        <w:t>Berlin muss eine rechtskonforme Gebührensatzung für Flüchtlings- und ASOG-Unte</w:t>
      </w:r>
      <w:r>
        <w:rPr>
          <w:rFonts w:asciiTheme="majorHAnsi" w:hAnsiTheme="majorHAnsi"/>
          <w:sz w:val="22"/>
        </w:rPr>
        <w:t>rkünfte erlassen, wie es andere Kommunen längst getan haben. Die Gebühren müssen sozial gestaffelt und in Relat</w:t>
      </w:r>
      <w:r>
        <w:rPr>
          <w:rFonts w:asciiTheme="majorHAnsi" w:hAnsiTheme="majorHAnsi"/>
          <w:sz w:val="22"/>
        </w:rPr>
        <w:t>i</w:t>
      </w:r>
      <w:r>
        <w:rPr>
          <w:rFonts w:asciiTheme="majorHAnsi" w:hAnsiTheme="majorHAnsi"/>
          <w:sz w:val="22"/>
        </w:rPr>
        <w:t xml:space="preserve">on zum Berliner Wohnungsmietniveau angemessen sein. </w:t>
      </w:r>
    </w:p>
    <w:p w14:paraId="3D858292" w14:textId="77777777" w:rsidR="00B40F12" w:rsidRDefault="00B40F12">
      <w:pPr>
        <w:pStyle w:val="Flietext"/>
        <w:spacing w:before="160" w:after="0" w:line="240" w:lineRule="auto"/>
        <w:jc w:val="left"/>
        <w:rPr>
          <w:rFonts w:asciiTheme="majorHAnsi" w:hAnsiTheme="majorHAnsi"/>
        </w:rPr>
      </w:pPr>
    </w:p>
    <w:p w14:paraId="45EEFB8C" w14:textId="77777777" w:rsidR="00B40F12" w:rsidRDefault="00B40F12">
      <w:pPr>
        <w:pStyle w:val="Flietext"/>
        <w:spacing w:before="160" w:after="0" w:line="240" w:lineRule="auto"/>
        <w:jc w:val="left"/>
        <w:rPr>
          <w:rFonts w:asciiTheme="majorHAnsi" w:hAnsiTheme="majorHAnsi"/>
          <w:i/>
          <w:shd w:val="clear" w:color="auto" w:fill="FFFFFF"/>
        </w:rPr>
      </w:pPr>
    </w:p>
    <w:p w14:paraId="7C3501E6" w14:textId="77777777" w:rsidR="00B40F12" w:rsidRDefault="00D97422">
      <w:pPr>
        <w:pStyle w:val="berschrift2"/>
        <w:widowControl/>
        <w:numPr>
          <w:ilvl w:val="1"/>
          <w:numId w:val="2"/>
        </w:numPr>
        <w:spacing w:before="160"/>
        <w:rPr>
          <w:rFonts w:asciiTheme="majorHAnsi" w:hAnsiTheme="majorHAnsi"/>
        </w:rPr>
      </w:pPr>
      <w:bookmarkStart w:id="20" w:name="_Toc491599978"/>
      <w:bookmarkEnd w:id="20"/>
      <w:r>
        <w:rPr>
          <w:rFonts w:asciiTheme="majorHAnsi" w:hAnsiTheme="majorHAnsi"/>
        </w:rPr>
        <w:t>Unbegleitete minderjährige Geflüchtete – umF</w:t>
      </w:r>
    </w:p>
    <w:p w14:paraId="1896BECE" w14:textId="77777777" w:rsidR="00B40F12" w:rsidRDefault="00B40F12">
      <w:pPr>
        <w:widowControl/>
        <w:suppressAutoHyphens w:val="0"/>
        <w:spacing w:before="160"/>
        <w:rPr>
          <w:rFonts w:asciiTheme="majorHAnsi" w:hAnsiTheme="majorHAnsi"/>
          <w:sz w:val="16"/>
        </w:rPr>
      </w:pPr>
    </w:p>
    <w:p w14:paraId="6A22AE30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21" w:name="_Toc491024288"/>
      <w:r>
        <w:rPr>
          <w:rFonts w:asciiTheme="majorHAnsi" w:hAnsiTheme="majorHAnsi"/>
        </w:rPr>
        <w:t xml:space="preserve">Aufnahme von umF </w:t>
      </w:r>
      <w:bookmarkEnd w:id="21"/>
      <w:r>
        <w:rPr>
          <w:rFonts w:asciiTheme="majorHAnsi" w:hAnsiTheme="majorHAnsi"/>
        </w:rPr>
        <w:t>rechtskonform umsetzen</w:t>
      </w:r>
    </w:p>
    <w:p w14:paraId="4F8160F8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Die</w:t>
      </w:r>
      <w:r>
        <w:rPr>
          <w:rFonts w:asciiTheme="majorHAnsi" w:hAnsiTheme="majorHAnsi"/>
          <w:sz w:val="22"/>
        </w:rPr>
        <w:t xml:space="preserve"> ED-Behandlung und Einreisebefragung unbegleiteter minderjähriger Geflüchteter (umF) beim LEA ohne Vormund*in ist sofort einzustellen. Aufenthalts- und asylrechtliches Clearing sind allein Aufgaben von SenBJF, Jugendämtern und Vormündern, nicht des LEA. </w:t>
      </w:r>
    </w:p>
    <w:p w14:paraId="3171FBC3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</w:pPr>
      <w:r>
        <w:rPr>
          <w:rFonts w:asciiTheme="majorHAnsi" w:hAnsiTheme="majorHAnsi"/>
          <w:sz w:val="22"/>
        </w:rPr>
        <w:t>D</w:t>
      </w:r>
      <w:r>
        <w:rPr>
          <w:rFonts w:asciiTheme="majorHAnsi" w:hAnsiTheme="majorHAnsi"/>
          <w:sz w:val="22"/>
        </w:rPr>
        <w:t xml:space="preserve">as LEA darf keine standardisierten Ausreiseaufforderungen und Abschiebungsandrohungen mehr gegen umF erlassen. Stattdessen sind im Regelfall humanitäre Aufenthaltserlaubnisse bis zur Volljährigkeit zu erteilen, vgl. EuGH C 441/19 und Reimann in </w:t>
      </w:r>
      <w:hyperlink r:id="rId6">
        <w:r>
          <w:rPr>
            <w:rStyle w:val="Internetlink"/>
            <w:rFonts w:asciiTheme="majorHAnsi" w:hAnsiTheme="majorHAnsi"/>
            <w:sz w:val="22"/>
          </w:rPr>
          <w:t>www.fluechtlingsrat-berlin.de/fr_newsletter_feb2021</w:t>
        </w:r>
      </w:hyperlink>
      <w:r>
        <w:rPr>
          <w:rFonts w:asciiTheme="majorHAnsi" w:hAnsiTheme="majorHAnsi"/>
          <w:sz w:val="22"/>
        </w:rPr>
        <w:t>.</w:t>
      </w:r>
    </w:p>
    <w:p w14:paraId="7CD4305E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Berlin muss sich bei Bund für die Abschaffung der bundesweiten Verteilung von umF einsetzen. Bis zur Abschaffung ist eine Verteilung im </w:t>
      </w:r>
      <w:r>
        <w:rPr>
          <w:rFonts w:asciiTheme="majorHAnsi" w:hAnsiTheme="majorHAnsi"/>
          <w:sz w:val="22"/>
        </w:rPr>
        <w:t xml:space="preserve">Regelfall als Kindeswohlgefährdung zu beurteilen und den Verbleib in Berlin zu ermöglichen. </w:t>
      </w:r>
    </w:p>
    <w:p w14:paraId="73507FC1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SenBJF muss umF über ihr Wunsch- und Wahlrecht bei der Vormundschaft informieren und so frühestmöglich das Angebot zu machen, eine*n ehrenamtliche*n </w:t>
      </w:r>
      <w:r>
        <w:rPr>
          <w:rFonts w:asciiTheme="majorHAnsi" w:hAnsiTheme="majorHAnsi"/>
          <w:sz w:val="22"/>
        </w:rPr>
        <w:t>Einzelvormund*in zu wählen. Die Finanzierung von Vormundschaftsvereinen und Projekten zur Unterstützung ehrenamtlicher Einze</w:t>
      </w:r>
      <w:r>
        <w:rPr>
          <w:rFonts w:asciiTheme="majorHAnsi" w:hAnsiTheme="majorHAnsi"/>
          <w:sz w:val="22"/>
        </w:rPr>
        <w:t>l</w:t>
      </w:r>
      <w:r>
        <w:rPr>
          <w:rFonts w:asciiTheme="majorHAnsi" w:hAnsiTheme="majorHAnsi"/>
          <w:sz w:val="22"/>
        </w:rPr>
        <w:t>vormünder ist zu gewährleisten.</w:t>
      </w:r>
    </w:p>
    <w:p w14:paraId="724207D2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Keine behördliche Altersfestsetzung auf „volljährig“, solange Zweifel bestehen. UmF müssen bei der </w:t>
      </w:r>
      <w:r>
        <w:rPr>
          <w:rFonts w:asciiTheme="majorHAnsi" w:hAnsiTheme="majorHAnsi"/>
          <w:sz w:val="22"/>
        </w:rPr>
        <w:t>Altersfestsetzung durch eine*n unabhängigen Vormund*in vertreten sein. Die Vormund*in darf nicht identisch sein mit der SenBJF, die die Altersfestsetzung vornimmt. Das Landesrecht ist zu ändern, um den Widerspruch gegen Altersfestsetzungen zuzulassen.</w:t>
      </w:r>
    </w:p>
    <w:p w14:paraId="6A32F51A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</w:t>
      </w:r>
      <w:r>
        <w:rPr>
          <w:rFonts w:asciiTheme="majorHAnsi" w:hAnsiTheme="majorHAnsi"/>
          <w:sz w:val="22"/>
        </w:rPr>
        <w:t>in muss gemäß Kinder- und Jugendstärkungsgesetz KJSG 2021 (§ 9a SGB VIII) eine una</w:t>
      </w:r>
      <w:r>
        <w:rPr>
          <w:rFonts w:asciiTheme="majorHAnsi" w:hAnsiTheme="majorHAnsi"/>
          <w:sz w:val="22"/>
        </w:rPr>
        <w:t>b</w:t>
      </w:r>
      <w:r>
        <w:rPr>
          <w:rFonts w:asciiTheme="majorHAnsi" w:hAnsiTheme="majorHAnsi"/>
          <w:sz w:val="22"/>
        </w:rPr>
        <w:t>hängige Ombudsstelle für umF schaffen.</w:t>
      </w:r>
    </w:p>
    <w:p w14:paraId="3FF1E35A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Den Berlinpass als freiwillige Leistung des Landes und die damit verbundenen BuT-Leistungen müssen auch Kinder und Jugendliche in der </w:t>
      </w:r>
      <w:r>
        <w:rPr>
          <w:rFonts w:asciiTheme="majorHAnsi" w:hAnsiTheme="majorHAnsi"/>
          <w:sz w:val="22"/>
        </w:rPr>
        <w:t>stationären Jugendhilfe erhalten.</w:t>
      </w:r>
    </w:p>
    <w:p w14:paraId="3DABC5AB" w14:textId="77777777" w:rsidR="00B40F12" w:rsidRDefault="00B40F12">
      <w:pPr>
        <w:widowControl/>
        <w:suppressAutoHyphens w:val="0"/>
        <w:spacing w:before="160"/>
        <w:rPr>
          <w:rFonts w:asciiTheme="majorHAnsi" w:hAnsiTheme="majorHAnsi"/>
          <w:sz w:val="22"/>
          <w:szCs w:val="22"/>
        </w:rPr>
      </w:pPr>
    </w:p>
    <w:p w14:paraId="01CB0006" w14:textId="77777777" w:rsidR="00B40F12" w:rsidRDefault="00B40F12">
      <w:pPr>
        <w:pStyle w:val="Flietext"/>
        <w:spacing w:before="160" w:after="0" w:line="240" w:lineRule="auto"/>
        <w:jc w:val="left"/>
        <w:rPr>
          <w:rFonts w:asciiTheme="majorHAnsi" w:hAnsiTheme="majorHAnsi"/>
          <w:shd w:val="clear" w:color="auto" w:fill="FFFFFF"/>
        </w:rPr>
      </w:pPr>
    </w:p>
    <w:p w14:paraId="63CCA3EB" w14:textId="77777777" w:rsidR="00B40F12" w:rsidRDefault="00D97422">
      <w:pPr>
        <w:pStyle w:val="berschrift2"/>
        <w:widowControl/>
        <w:numPr>
          <w:ilvl w:val="1"/>
          <w:numId w:val="2"/>
        </w:numPr>
        <w:spacing w:before="160"/>
        <w:rPr>
          <w:rFonts w:asciiTheme="majorHAnsi" w:hAnsiTheme="majorHAnsi"/>
          <w:sz w:val="16"/>
        </w:rPr>
      </w:pPr>
      <w:bookmarkStart w:id="22" w:name="_Toc491599979"/>
      <w:bookmarkStart w:id="23" w:name="_Toc491024296"/>
      <w:r>
        <w:rPr>
          <w:rFonts w:asciiTheme="majorHAnsi" w:hAnsiTheme="majorHAnsi"/>
        </w:rPr>
        <w:t xml:space="preserve">Schule und Kita für alle </w:t>
      </w:r>
      <w:bookmarkEnd w:id="22"/>
      <w:bookmarkEnd w:id="23"/>
      <w:r>
        <w:rPr>
          <w:rFonts w:asciiTheme="majorHAnsi" w:hAnsiTheme="majorHAnsi"/>
        </w:rPr>
        <w:br/>
      </w:r>
    </w:p>
    <w:p w14:paraId="3CB961FD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24" w:name="_Toc491024297"/>
      <w:bookmarkEnd w:id="24"/>
      <w:r>
        <w:rPr>
          <w:rFonts w:asciiTheme="majorHAnsi" w:hAnsiTheme="majorHAnsi"/>
        </w:rPr>
        <w:t>Schule für alle</w:t>
      </w:r>
    </w:p>
    <w:p w14:paraId="2EF0FBCE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Das SchulG Bln ist zu ergänzen um das Recht auf diskriminierungsfreien Zugang zu Bildung "</w:t>
      </w:r>
      <w:r>
        <w:rPr>
          <w:rFonts w:asciiTheme="majorHAnsi" w:hAnsiTheme="majorHAnsi"/>
          <w:i/>
          <w:sz w:val="22"/>
        </w:rPr>
        <w:t>unabhängig vom ausländerrechtlichen Aufenthaltsstatus</w:t>
      </w:r>
      <w:r>
        <w:rPr>
          <w:rFonts w:asciiTheme="majorHAnsi" w:hAnsiTheme="majorHAnsi"/>
          <w:sz w:val="22"/>
        </w:rPr>
        <w:t>", auf den jeweils "</w:t>
      </w:r>
      <w:r>
        <w:rPr>
          <w:rFonts w:asciiTheme="majorHAnsi" w:hAnsiTheme="majorHAnsi"/>
          <w:i/>
          <w:sz w:val="22"/>
        </w:rPr>
        <w:t xml:space="preserve">bestmöglichen </w:t>
      </w:r>
      <w:r>
        <w:rPr>
          <w:rFonts w:asciiTheme="majorHAnsi" w:hAnsiTheme="majorHAnsi"/>
          <w:i/>
          <w:sz w:val="22"/>
        </w:rPr>
        <w:t>Schula</w:t>
      </w:r>
      <w:r>
        <w:rPr>
          <w:rFonts w:asciiTheme="majorHAnsi" w:hAnsiTheme="majorHAnsi"/>
          <w:i/>
          <w:sz w:val="22"/>
        </w:rPr>
        <w:t>b</w:t>
      </w:r>
      <w:r>
        <w:rPr>
          <w:rFonts w:asciiTheme="majorHAnsi" w:hAnsiTheme="majorHAnsi"/>
          <w:i/>
          <w:sz w:val="22"/>
        </w:rPr>
        <w:t>schluss</w:t>
      </w:r>
      <w:r>
        <w:rPr>
          <w:rFonts w:asciiTheme="majorHAnsi" w:hAnsiTheme="majorHAnsi"/>
          <w:sz w:val="22"/>
        </w:rPr>
        <w:t>“ und Aufnahme in eine reguläre Schule bis zum 27. Lebensjahr (§ 2 SchulG Bln).</w:t>
      </w:r>
    </w:p>
    <w:p w14:paraId="6DF8DFF4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Im SchulG Bln ist die Schulpflicht von 10 auf 12 Jahre bzw. bis zum Alter von 18 Jahren zu e</w:t>
      </w:r>
      <w:r>
        <w:rPr>
          <w:rFonts w:asciiTheme="majorHAnsi" w:hAnsiTheme="majorHAnsi"/>
          <w:sz w:val="22"/>
        </w:rPr>
        <w:t>r</w:t>
      </w:r>
      <w:r>
        <w:rPr>
          <w:rFonts w:asciiTheme="majorHAnsi" w:hAnsiTheme="majorHAnsi"/>
          <w:sz w:val="22"/>
        </w:rPr>
        <w:t xml:space="preserve">weitern. Die Schulpflicht ist zu erweitern auf Kinder ohne förmliche </w:t>
      </w:r>
      <w:r>
        <w:rPr>
          <w:rFonts w:asciiTheme="majorHAnsi" w:hAnsiTheme="majorHAnsi"/>
          <w:sz w:val="22"/>
        </w:rPr>
        <w:t>Duldung oder Aufenthaltsgesta</w:t>
      </w:r>
      <w:r>
        <w:rPr>
          <w:rFonts w:asciiTheme="majorHAnsi" w:hAnsiTheme="majorHAnsi"/>
          <w:sz w:val="22"/>
        </w:rPr>
        <w:t>t</w:t>
      </w:r>
      <w:r>
        <w:rPr>
          <w:rFonts w:asciiTheme="majorHAnsi" w:hAnsiTheme="majorHAnsi"/>
          <w:sz w:val="22"/>
        </w:rPr>
        <w:t xml:space="preserve">tung, z.B. mit Grenzübertrittsbescheinigung (§§ 41, 42 SchulG Bln). </w:t>
      </w:r>
    </w:p>
    <w:p w14:paraId="7FB496D6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lastRenderedPageBreak/>
        <w:t>Der SenBJF-Leitfaden zur Integration von neu zugewanderten Kindern und Jugendlichen in Kita und Schule ist als Verwaltungsvorschrift zum SchulG Bln verbindli</w:t>
      </w:r>
      <w:r>
        <w:rPr>
          <w:rFonts w:asciiTheme="majorHAnsi" w:hAnsiTheme="majorHAnsi"/>
          <w:sz w:val="22"/>
        </w:rPr>
        <w:t xml:space="preserve">ch umzusetzen. </w:t>
      </w:r>
    </w:p>
    <w:p w14:paraId="4E0B920B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Jede Form der Ersatzbeschulung in Sammelunterkünften oder gesonderten Flüchtlingsschulen hat zu unterbleiben. Unterricht hat in Räumen und nach Lehrplänen regulärer Schulen stattzufinden.</w:t>
      </w:r>
    </w:p>
    <w:p w14:paraId="2CEE850B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Die Einschulung neu eingereister Kinder und Jugendli</w:t>
      </w:r>
      <w:r>
        <w:rPr>
          <w:rFonts w:asciiTheme="majorHAnsi" w:hAnsiTheme="majorHAnsi"/>
          <w:sz w:val="22"/>
        </w:rPr>
        <w:t xml:space="preserve">cher muss binnen 14 Tagen nach Ankunft erfolgen. </w:t>
      </w:r>
    </w:p>
    <w:p w14:paraId="5572B0B1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Geflüchtete sind nach Bildungsbiographie und Kompetenzen auf passende Schulplätze zu vermitteln, statt nur nach Maßgabe freier Plätze. Es darf keine automatische Zuweisung an OSZs ab 16 Jahren mehr geben. </w:t>
      </w:r>
    </w:p>
    <w:p w14:paraId="2BF14AE5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Sprachkompetenz in der Herkunftssprache ist an allen Schulen zu fördern. IT-Kompetenz und der Zugang zu WLAN und digitalen Endgeräten ist auch über die Pandemie hinaus für alle Sch</w:t>
      </w:r>
      <w:r>
        <w:rPr>
          <w:rFonts w:asciiTheme="majorHAnsi" w:hAnsiTheme="majorHAnsi"/>
          <w:sz w:val="22"/>
        </w:rPr>
        <w:t>ü</w:t>
      </w:r>
      <w:r>
        <w:rPr>
          <w:rFonts w:asciiTheme="majorHAnsi" w:hAnsiTheme="majorHAnsi"/>
          <w:sz w:val="22"/>
        </w:rPr>
        <w:t xml:space="preserve">ler*innen sicherzustellen. </w:t>
      </w:r>
    </w:p>
    <w:p w14:paraId="62D30FCD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Beratungsstrukturen für geflüchtete Jugendliche</w:t>
      </w:r>
      <w:r>
        <w:rPr>
          <w:rFonts w:asciiTheme="majorHAnsi" w:hAnsiTheme="majorHAnsi"/>
          <w:sz w:val="22"/>
        </w:rPr>
        <w:t xml:space="preserve"> zwischen 16 und 27 Jahren zum Zugang zu Schule und Ausbildung sind zu fördern und auszubauen. </w:t>
      </w:r>
    </w:p>
    <w:p w14:paraId="561218CB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Der Kita- und Schulbesuch von Kindern ohne legalen Aufenthalt darf nicht an fehlenden Papi</w:t>
      </w:r>
      <w:r>
        <w:rPr>
          <w:rFonts w:asciiTheme="majorHAnsi" w:hAnsiTheme="majorHAnsi"/>
          <w:sz w:val="22"/>
        </w:rPr>
        <w:t>e</w:t>
      </w:r>
      <w:r>
        <w:rPr>
          <w:rFonts w:asciiTheme="majorHAnsi" w:hAnsiTheme="majorHAnsi"/>
          <w:sz w:val="22"/>
        </w:rPr>
        <w:t>ren scheitern. Schulen und Schulämter, Jugendämter und Kitas sind ent</w:t>
      </w:r>
      <w:r>
        <w:rPr>
          <w:rFonts w:asciiTheme="majorHAnsi" w:hAnsiTheme="majorHAnsi"/>
          <w:sz w:val="22"/>
        </w:rPr>
        <w:t xml:space="preserve">sprechend zu sensibilisieren und anzuweisen, keine Daten an Polizei und Ausländerbehörde zu übermitteln. </w:t>
      </w:r>
    </w:p>
    <w:p w14:paraId="0F4DFE1D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Der Senat soll eine Beschwerdestelle für Diskriminierungen in Kita, Schule und Ausbildung einrichten.</w:t>
      </w:r>
    </w:p>
    <w:p w14:paraId="3E1A5442" w14:textId="77777777" w:rsidR="00B40F12" w:rsidRDefault="00B40F12">
      <w:pPr>
        <w:pStyle w:val="WW-Textkrper2"/>
        <w:widowControl/>
        <w:tabs>
          <w:tab w:val="center" w:pos="4896"/>
          <w:tab w:val="right" w:pos="9432"/>
        </w:tabs>
        <w:spacing w:before="160"/>
        <w:rPr>
          <w:rFonts w:asciiTheme="majorHAnsi" w:eastAsiaTheme="minorHAnsi" w:hAnsiTheme="majorHAnsi" w:cstheme="minorBidi"/>
          <w:b w:val="0"/>
          <w:sz w:val="22"/>
          <w:szCs w:val="22"/>
          <w:shd w:val="clear" w:color="auto" w:fill="FFFFFF"/>
          <w:lang w:eastAsia="en-US" w:bidi="ar-SA"/>
        </w:rPr>
      </w:pPr>
    </w:p>
    <w:p w14:paraId="131F4AE3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25" w:name="_Toc491024298"/>
      <w:bookmarkEnd w:id="25"/>
      <w:r>
        <w:rPr>
          <w:rFonts w:asciiTheme="majorHAnsi" w:hAnsiTheme="majorHAnsi"/>
        </w:rPr>
        <w:t>Kita und Hort für alle</w:t>
      </w:r>
    </w:p>
    <w:p w14:paraId="328890F3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Der Rechtsanspruch auf e</w:t>
      </w:r>
      <w:r>
        <w:rPr>
          <w:rFonts w:asciiTheme="majorHAnsi" w:hAnsiTheme="majorHAnsi"/>
          <w:sz w:val="22"/>
        </w:rPr>
        <w:t>inen Kitaplatz muss durch reguläre Kita- und Hortplätze umgesetzt werden. Geflüchtete segregierende Angebote auf Sparniveau wie "Edusation" dürfen nicht mehr g</w:t>
      </w:r>
      <w:r>
        <w:rPr>
          <w:rFonts w:asciiTheme="majorHAnsi" w:hAnsiTheme="majorHAnsi"/>
          <w:sz w:val="22"/>
        </w:rPr>
        <w:t>e</w:t>
      </w:r>
      <w:r>
        <w:rPr>
          <w:rFonts w:asciiTheme="majorHAnsi" w:hAnsiTheme="majorHAnsi"/>
          <w:sz w:val="22"/>
        </w:rPr>
        <w:t xml:space="preserve">fördert werden. </w:t>
      </w:r>
    </w:p>
    <w:p w14:paraId="3C2D93BE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In § 55 SchulG Bln ist klarzustellen, dass die vorschulische Sprachförderung au</w:t>
      </w:r>
      <w:r>
        <w:rPr>
          <w:rFonts w:asciiTheme="majorHAnsi" w:hAnsiTheme="majorHAnsi"/>
          <w:sz w:val="22"/>
        </w:rPr>
        <w:t>sschließlich in regulären Kitas stattfindet. In Sammelunterkünften sollen Sprachstandsfeststellungen in Zusa</w:t>
      </w:r>
      <w:r>
        <w:rPr>
          <w:rFonts w:asciiTheme="majorHAnsi" w:hAnsiTheme="majorHAnsi"/>
          <w:sz w:val="22"/>
        </w:rPr>
        <w:t>m</w:t>
      </w:r>
      <w:r>
        <w:rPr>
          <w:rFonts w:asciiTheme="majorHAnsi" w:hAnsiTheme="majorHAnsi"/>
          <w:sz w:val="22"/>
        </w:rPr>
        <w:t>menarbeit mit dem dortigen Personal erfolgen.</w:t>
      </w:r>
    </w:p>
    <w:p w14:paraId="3B89B538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Betreuer*innen in Sammelunterkünften sind zu verpflichten, Anmeldungen zu Kita, Schule und Hort für a</w:t>
      </w:r>
      <w:r>
        <w:rPr>
          <w:rFonts w:asciiTheme="majorHAnsi" w:hAnsiTheme="majorHAnsi"/>
          <w:sz w:val="22"/>
        </w:rPr>
        <w:t xml:space="preserve">lle Kinder sicherzustellen. </w:t>
      </w:r>
    </w:p>
    <w:p w14:paraId="2CF9ECFA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Das Berliner Kita-Anmeldesystem ist strukturell diskriminierend. Um den gleichen Zugang für alle zu Kita und Hort umzusetzen, ist ein für alle Kinder verbindliches Vergabe- und Zuweisungsve</w:t>
      </w:r>
      <w:r>
        <w:rPr>
          <w:rFonts w:asciiTheme="majorHAnsi" w:hAnsiTheme="majorHAnsi"/>
          <w:sz w:val="22"/>
        </w:rPr>
        <w:t>r</w:t>
      </w:r>
      <w:r>
        <w:rPr>
          <w:rFonts w:asciiTheme="majorHAnsi" w:hAnsiTheme="majorHAnsi"/>
          <w:sz w:val="22"/>
        </w:rPr>
        <w:t>fahren über die Jugendämter zu schaff</w:t>
      </w:r>
      <w:r>
        <w:rPr>
          <w:rFonts w:asciiTheme="majorHAnsi" w:hAnsiTheme="majorHAnsi"/>
          <w:sz w:val="22"/>
        </w:rPr>
        <w:t xml:space="preserve">en. </w:t>
      </w:r>
    </w:p>
    <w:p w14:paraId="0B04FF2D" w14:textId="77777777" w:rsidR="00B40F12" w:rsidRDefault="00B40F12">
      <w:pPr>
        <w:pStyle w:val="WW-Textkrper2"/>
        <w:widowControl/>
        <w:tabs>
          <w:tab w:val="center" w:pos="4896"/>
          <w:tab w:val="right" w:pos="9432"/>
        </w:tabs>
        <w:spacing w:before="160"/>
        <w:rPr>
          <w:rFonts w:asciiTheme="majorHAnsi" w:eastAsiaTheme="minorHAnsi" w:hAnsiTheme="majorHAnsi" w:cstheme="minorBidi"/>
          <w:b w:val="0"/>
          <w:sz w:val="22"/>
          <w:szCs w:val="22"/>
          <w:shd w:val="clear" w:color="auto" w:fill="FFFFFF"/>
          <w:lang w:eastAsia="en-US" w:bidi="ar-SA"/>
        </w:rPr>
      </w:pPr>
    </w:p>
    <w:p w14:paraId="59BE1858" w14:textId="77777777" w:rsidR="00B40F12" w:rsidRDefault="00B40F12">
      <w:pPr>
        <w:pStyle w:val="WW-Textkrper2"/>
        <w:widowControl/>
        <w:tabs>
          <w:tab w:val="center" w:pos="4896"/>
          <w:tab w:val="right" w:pos="9432"/>
        </w:tabs>
        <w:spacing w:before="160"/>
        <w:rPr>
          <w:rFonts w:asciiTheme="majorHAnsi" w:eastAsiaTheme="minorHAnsi" w:hAnsiTheme="majorHAnsi" w:cstheme="minorBidi"/>
          <w:b w:val="0"/>
          <w:sz w:val="22"/>
          <w:szCs w:val="22"/>
          <w:shd w:val="clear" w:color="auto" w:fill="FFFFFF"/>
          <w:lang w:eastAsia="en-US" w:bidi="ar-SA"/>
        </w:rPr>
      </w:pPr>
    </w:p>
    <w:p w14:paraId="6CB8CE3E" w14:textId="77777777" w:rsidR="00B40F12" w:rsidRDefault="00D97422">
      <w:pPr>
        <w:pStyle w:val="berschrift2"/>
        <w:widowControl/>
        <w:numPr>
          <w:ilvl w:val="1"/>
          <w:numId w:val="2"/>
        </w:numPr>
        <w:spacing w:before="160"/>
        <w:rPr>
          <w:rFonts w:asciiTheme="majorHAnsi" w:hAnsiTheme="majorHAnsi"/>
        </w:rPr>
      </w:pPr>
      <w:bookmarkStart w:id="26" w:name="_Toc491599980"/>
      <w:bookmarkStart w:id="27" w:name="_Toc491024300"/>
      <w:bookmarkEnd w:id="26"/>
      <w:bookmarkEnd w:id="27"/>
      <w:r>
        <w:rPr>
          <w:rFonts w:asciiTheme="majorHAnsi" w:hAnsiTheme="majorHAnsi"/>
        </w:rPr>
        <w:t xml:space="preserve">Zugang zu Recht, Beratungsstellen und Initiativen, Landesbeirat </w:t>
      </w:r>
    </w:p>
    <w:p w14:paraId="08CD1E68" w14:textId="77777777" w:rsidR="00B40F12" w:rsidRDefault="00B40F12">
      <w:pPr>
        <w:widowControl/>
        <w:suppressAutoHyphens w:val="0"/>
        <w:spacing w:before="160"/>
        <w:rPr>
          <w:rFonts w:asciiTheme="majorHAnsi" w:hAnsiTheme="majorHAnsi"/>
          <w:sz w:val="16"/>
        </w:rPr>
      </w:pPr>
    </w:p>
    <w:p w14:paraId="40143540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28" w:name="_Toc491024301"/>
      <w:bookmarkEnd w:id="28"/>
      <w:r>
        <w:rPr>
          <w:rFonts w:asciiTheme="majorHAnsi" w:hAnsiTheme="majorHAnsi"/>
        </w:rPr>
        <w:t xml:space="preserve">Niedrigschwellige Rechtsberatungsangebote </w:t>
      </w:r>
    </w:p>
    <w:p w14:paraId="624BBE4D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ausreichend niedrigschwellige kostenlose Rechtsberatungsangebote mit Sprac</w:t>
      </w:r>
      <w:r>
        <w:rPr>
          <w:rFonts w:asciiTheme="majorHAnsi" w:hAnsiTheme="majorHAnsi"/>
          <w:sz w:val="22"/>
        </w:rPr>
        <w:t>h</w:t>
      </w:r>
      <w:r>
        <w:rPr>
          <w:rFonts w:asciiTheme="majorHAnsi" w:hAnsiTheme="majorHAnsi"/>
          <w:sz w:val="22"/>
        </w:rPr>
        <w:t xml:space="preserve">mittlung für Migrant*innen und Geflüchtete im </w:t>
      </w:r>
      <w:r>
        <w:rPr>
          <w:rFonts w:asciiTheme="majorHAnsi" w:hAnsiTheme="majorHAnsi"/>
          <w:sz w:val="22"/>
        </w:rPr>
        <w:t>Ausländer- und Asylrecht, Sozialrecht, Mietrecht, Arbeitsrecht und Verbraucherschutz schaffen.</w:t>
      </w:r>
    </w:p>
    <w:p w14:paraId="0ED078F3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lastRenderedPageBreak/>
        <w:t>Die Beratung muss Hilfen bei Ausbeutung und Betrug einschließen. Die Beratung für wo</w:t>
      </w:r>
      <w:r>
        <w:rPr>
          <w:rFonts w:asciiTheme="majorHAnsi" w:hAnsiTheme="majorHAnsi"/>
          <w:sz w:val="22"/>
        </w:rPr>
        <w:t>h</w:t>
      </w:r>
      <w:r>
        <w:rPr>
          <w:rFonts w:asciiTheme="majorHAnsi" w:hAnsiTheme="majorHAnsi"/>
          <w:sz w:val="22"/>
        </w:rPr>
        <w:t xml:space="preserve">nungssuchende Geflüchtete muss auch Rechtsberatung und -vertretung bei Betrug anbieten. </w:t>
      </w:r>
    </w:p>
    <w:p w14:paraId="6EBCC81C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Die Übernahme von Beiträgen zum Mieterverein nach AV Wohnen erst bei bestehenden m</w:t>
      </w:r>
      <w:r>
        <w:rPr>
          <w:rFonts w:asciiTheme="majorHAnsi" w:hAnsiTheme="majorHAnsi"/>
          <w:sz w:val="22"/>
        </w:rPr>
        <w:t>ie</w:t>
      </w:r>
      <w:r>
        <w:rPr>
          <w:rFonts w:asciiTheme="majorHAnsi" w:hAnsiTheme="majorHAnsi"/>
          <w:sz w:val="22"/>
        </w:rPr>
        <w:t>t</w:t>
      </w:r>
      <w:r>
        <w:rPr>
          <w:rFonts w:asciiTheme="majorHAnsi" w:hAnsiTheme="majorHAnsi"/>
          <w:sz w:val="22"/>
        </w:rPr>
        <w:t>rechtlichen Konflikten ist wenig hilfreich, weil es dafür keinen Rechtsschutz gibt. Beiträge sollten d</w:t>
      </w:r>
      <w:r>
        <w:rPr>
          <w:rFonts w:asciiTheme="majorHAnsi" w:hAnsiTheme="majorHAnsi"/>
          <w:sz w:val="22"/>
        </w:rPr>
        <w:t>a</w:t>
      </w:r>
      <w:r>
        <w:rPr>
          <w:rFonts w:asciiTheme="majorHAnsi" w:hAnsiTheme="majorHAnsi"/>
          <w:sz w:val="22"/>
        </w:rPr>
        <w:t>her immer übernommen werden.</w:t>
      </w:r>
    </w:p>
    <w:p w14:paraId="5B55BF19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dafür einsetzen, nach den europarechtlichen Vorgaben Prozes</w:t>
      </w:r>
      <w:r>
        <w:rPr>
          <w:rFonts w:asciiTheme="majorHAnsi" w:hAnsiTheme="majorHAnsi"/>
          <w:sz w:val="22"/>
        </w:rPr>
        <w:t>s</w:t>
      </w:r>
      <w:r>
        <w:rPr>
          <w:rFonts w:asciiTheme="majorHAnsi" w:hAnsiTheme="majorHAnsi"/>
          <w:sz w:val="22"/>
        </w:rPr>
        <w:t>kostenhilfe im Asylverfahren stets</w:t>
      </w:r>
      <w:r>
        <w:rPr>
          <w:rFonts w:asciiTheme="majorHAnsi" w:hAnsiTheme="majorHAnsi"/>
          <w:sz w:val="22"/>
        </w:rPr>
        <w:t xml:space="preserve"> zu gewähren, ebenso bei Eingriffen in das Grundrecht auf ein menschenwürdiges Existenzminium.</w:t>
      </w:r>
    </w:p>
    <w:p w14:paraId="039115B3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Sprachmittlung bei allen Behörden und Ämtern und den Rechtsantragsstellen der Berliner Gerichte muss sichergestellt werden. </w:t>
      </w:r>
    </w:p>
    <w:p w14:paraId="6FFA31EA" w14:textId="77777777" w:rsidR="00B40F12" w:rsidRDefault="00B40F12">
      <w:pPr>
        <w:widowControl/>
        <w:suppressAutoHyphens w:val="0"/>
        <w:spacing w:before="160"/>
        <w:rPr>
          <w:rFonts w:asciiTheme="majorHAnsi" w:hAnsiTheme="majorHAnsi"/>
        </w:rPr>
      </w:pPr>
    </w:p>
    <w:p w14:paraId="6C59DF8E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bookmarkStart w:id="29" w:name="_Toc491024302"/>
      <w:r>
        <w:rPr>
          <w:rFonts w:asciiTheme="majorHAnsi" w:hAnsiTheme="majorHAnsi"/>
        </w:rPr>
        <w:t>Beratungsstellen, Geflüchtetenorgan</w:t>
      </w:r>
      <w:r>
        <w:rPr>
          <w:rFonts w:asciiTheme="majorHAnsi" w:hAnsiTheme="majorHAnsi"/>
        </w:rPr>
        <w:t>isation und Initiativen fördern</w:t>
      </w:r>
      <w:bookmarkEnd w:id="29"/>
      <w:r>
        <w:rPr>
          <w:rFonts w:asciiTheme="majorHAnsi" w:hAnsiTheme="majorHAnsi"/>
        </w:rPr>
        <w:t xml:space="preserve"> und beteiligen</w:t>
      </w:r>
    </w:p>
    <w:p w14:paraId="4EE24D09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Der Senat muss eine langfristige Finanzierung der Beratungsstellen für Geflüchtete in Berlin sicherstellen. Eine Anleitung durch Volljurist*innen nach Rechtsdienstleistungsgesetz muss übe</w:t>
      </w:r>
      <w:r>
        <w:rPr>
          <w:rFonts w:asciiTheme="majorHAnsi" w:hAnsiTheme="majorHAnsi"/>
          <w:sz w:val="22"/>
        </w:rPr>
        <w:t>r</w:t>
      </w:r>
      <w:r>
        <w:rPr>
          <w:rFonts w:asciiTheme="majorHAnsi" w:hAnsiTheme="majorHAnsi"/>
          <w:sz w:val="22"/>
        </w:rPr>
        <w:t>nommen werden.</w:t>
      </w:r>
    </w:p>
    <w:p w14:paraId="5AB23540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</w:t>
      </w:r>
      <w:r>
        <w:rPr>
          <w:rFonts w:asciiTheme="majorHAnsi" w:hAnsiTheme="majorHAnsi"/>
          <w:sz w:val="22"/>
        </w:rPr>
        <w:t xml:space="preserve"> muss die Expertise von Beratungsstellen, Selbstorganisationen und Initiativen von und für Geflüchtete fördern und bei allen Geflüchtete betreffenden Vorhaben einbeziehen. </w:t>
      </w:r>
    </w:p>
    <w:p w14:paraId="01B1B012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Der Landesbeirat für Integrations- und Migrationsfragen sollte öffentlich tagen. Se</w:t>
      </w:r>
      <w:r>
        <w:rPr>
          <w:rFonts w:asciiTheme="majorHAnsi" w:hAnsiTheme="majorHAnsi"/>
          <w:sz w:val="22"/>
        </w:rPr>
        <w:t>nat und Bezirke sollen dem Beirat über die Umsetzung seiner Empfehlungen berichten. Tagesordnungen, Beschlüsse, Protokolle und Stellungnahmen sind zu veröffentlichen.</w:t>
      </w:r>
    </w:p>
    <w:p w14:paraId="18BC5186" w14:textId="77777777" w:rsidR="00B40F12" w:rsidRDefault="00B40F12">
      <w:pPr>
        <w:widowControl/>
        <w:tabs>
          <w:tab w:val="center" w:pos="4896"/>
          <w:tab w:val="right" w:pos="9432"/>
        </w:tabs>
        <w:suppressAutoHyphens w:val="0"/>
        <w:spacing w:before="160"/>
        <w:rPr>
          <w:rFonts w:asciiTheme="majorHAnsi" w:hAnsiTheme="majorHAnsi"/>
          <w:sz w:val="22"/>
        </w:rPr>
      </w:pPr>
    </w:p>
    <w:p w14:paraId="0B9030E4" w14:textId="77777777" w:rsidR="00B40F12" w:rsidRDefault="00B40F12">
      <w:pPr>
        <w:widowControl/>
        <w:tabs>
          <w:tab w:val="center" w:pos="4896"/>
          <w:tab w:val="right" w:pos="9432"/>
        </w:tabs>
        <w:suppressAutoHyphens w:val="0"/>
        <w:spacing w:before="160"/>
        <w:rPr>
          <w:rFonts w:asciiTheme="majorHAnsi" w:hAnsiTheme="majorHAnsi"/>
          <w:sz w:val="22"/>
        </w:rPr>
      </w:pPr>
    </w:p>
    <w:p w14:paraId="35B04F94" w14:textId="77777777" w:rsidR="00B40F12" w:rsidRDefault="00D97422">
      <w:pPr>
        <w:pStyle w:val="berschrift2"/>
        <w:widowControl/>
        <w:numPr>
          <w:ilvl w:val="1"/>
          <w:numId w:val="2"/>
        </w:numPr>
        <w:spacing w:before="160"/>
        <w:rPr>
          <w:rFonts w:asciiTheme="majorHAnsi" w:hAnsiTheme="majorHAnsi"/>
        </w:rPr>
      </w:pPr>
      <w:r>
        <w:rPr>
          <w:rFonts w:asciiTheme="majorHAnsi" w:hAnsiTheme="majorHAnsi"/>
        </w:rPr>
        <w:t>Wahlrecht und Einbürgerung</w:t>
      </w:r>
    </w:p>
    <w:p w14:paraId="47E9B5CF" w14:textId="77777777" w:rsidR="00B40F12" w:rsidRDefault="00B40F12">
      <w:pPr>
        <w:widowControl/>
        <w:suppressAutoHyphens w:val="0"/>
        <w:spacing w:before="160"/>
        <w:rPr>
          <w:rFonts w:asciiTheme="majorHAnsi" w:hAnsiTheme="majorHAnsi"/>
          <w:sz w:val="16"/>
        </w:rPr>
      </w:pPr>
    </w:p>
    <w:p w14:paraId="6BF0A641" w14:textId="77777777" w:rsidR="00B40F12" w:rsidRDefault="00D97422">
      <w:pPr>
        <w:pStyle w:val="berschrift3"/>
        <w:widowControl/>
        <w:spacing w:before="160"/>
        <w:rPr>
          <w:rFonts w:asciiTheme="majorHAnsi" w:hAnsiTheme="majorHAnsi"/>
        </w:rPr>
      </w:pPr>
      <w:r>
        <w:rPr>
          <w:rFonts w:asciiTheme="majorHAnsi" w:hAnsiTheme="majorHAnsi"/>
        </w:rPr>
        <w:t>Wahlrecht ermöglichen, Einbürgerung erleichtern</w:t>
      </w:r>
    </w:p>
    <w:p w14:paraId="0A270693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Der neue Se</w:t>
      </w:r>
      <w:r>
        <w:rPr>
          <w:rFonts w:asciiTheme="majorHAnsi" w:hAnsiTheme="majorHAnsi"/>
          <w:sz w:val="22"/>
        </w:rPr>
        <w:t xml:space="preserve">nat soll eine Änderung der Verfassung Berlins für ein umfassendes Wahlrecht in Berlin lebender Nichtdeutscher einleiten und sich beim Bund für eine entsprechende Anpassung des Grundgesetzes einsetzen. </w:t>
      </w:r>
    </w:p>
    <w:p w14:paraId="1633EBBA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darf kein Schlusslicht bei der Einbürgerung ble</w:t>
      </w:r>
      <w:r>
        <w:rPr>
          <w:rFonts w:asciiTheme="majorHAnsi" w:hAnsiTheme="majorHAnsi"/>
          <w:sz w:val="22"/>
        </w:rPr>
        <w:t>iben. Bei Information und Beratung, Rechtsauslegung, Verwaltungspraxis und Bearbeitungsdauer ist umfassend umzusteuern. Antrag</w:t>
      </w:r>
      <w:r>
        <w:rPr>
          <w:rFonts w:asciiTheme="majorHAnsi" w:hAnsiTheme="majorHAnsi"/>
          <w:sz w:val="22"/>
        </w:rPr>
        <w:t>s</w:t>
      </w:r>
      <w:r>
        <w:rPr>
          <w:rFonts w:asciiTheme="majorHAnsi" w:hAnsiTheme="majorHAnsi"/>
          <w:sz w:val="22"/>
        </w:rPr>
        <w:t>formulare und Verwaltungsvorschriften sind im Internet zu veröffentlichen. Berlin muss sich mit e</w:t>
      </w:r>
      <w:r>
        <w:rPr>
          <w:rFonts w:asciiTheme="majorHAnsi" w:hAnsiTheme="majorHAnsi"/>
          <w:sz w:val="22"/>
        </w:rPr>
        <w:t>i</w:t>
      </w:r>
      <w:r>
        <w:rPr>
          <w:rFonts w:asciiTheme="majorHAnsi" w:hAnsiTheme="majorHAnsi"/>
          <w:sz w:val="22"/>
        </w:rPr>
        <w:t>ner proaktiven Einbürgerungskam</w:t>
      </w:r>
      <w:r>
        <w:rPr>
          <w:rFonts w:asciiTheme="majorHAnsi" w:hAnsiTheme="majorHAnsi"/>
          <w:sz w:val="22"/>
        </w:rPr>
        <w:t xml:space="preserve">pagne am Vorbild Hamburgs orientieren. </w:t>
      </w:r>
    </w:p>
    <w:p w14:paraId="60E70C7E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Die Zuständigkeit für die Einbürgerungsbehörden ist an die Integrationssenator*in zu überg</w:t>
      </w:r>
      <w:r>
        <w:rPr>
          <w:rFonts w:asciiTheme="majorHAnsi" w:hAnsiTheme="majorHAnsi"/>
          <w:sz w:val="22"/>
        </w:rPr>
        <w:t>e</w:t>
      </w:r>
      <w:r>
        <w:rPr>
          <w:rFonts w:asciiTheme="majorHAnsi" w:hAnsiTheme="majorHAnsi"/>
          <w:sz w:val="22"/>
        </w:rPr>
        <w:t>ben.</w:t>
      </w:r>
    </w:p>
    <w:p w14:paraId="1AD73A62" w14:textId="77777777" w:rsidR="00B40F1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landesrechtliche Anwendungshinweise zum StAG vorlegen und bei Sprachanfo</w:t>
      </w:r>
      <w:r>
        <w:rPr>
          <w:rFonts w:asciiTheme="majorHAnsi" w:hAnsiTheme="majorHAnsi"/>
          <w:sz w:val="22"/>
        </w:rPr>
        <w:t>r</w:t>
      </w:r>
      <w:r>
        <w:rPr>
          <w:rFonts w:asciiTheme="majorHAnsi" w:hAnsiTheme="majorHAnsi"/>
          <w:sz w:val="22"/>
        </w:rPr>
        <w:t>derungen, Mehrstaatigkeit, Lebensun</w:t>
      </w:r>
      <w:r>
        <w:rPr>
          <w:rFonts w:asciiTheme="majorHAnsi" w:hAnsiTheme="majorHAnsi"/>
          <w:sz w:val="22"/>
        </w:rPr>
        <w:t>terhaltssicherung usw. die Spielräume zugunsten der Antra</w:t>
      </w:r>
      <w:r>
        <w:rPr>
          <w:rFonts w:asciiTheme="majorHAnsi" w:hAnsiTheme="majorHAnsi"/>
          <w:sz w:val="22"/>
        </w:rPr>
        <w:t>g</w:t>
      </w:r>
      <w:r>
        <w:rPr>
          <w:rFonts w:asciiTheme="majorHAnsi" w:hAnsiTheme="majorHAnsi"/>
          <w:sz w:val="22"/>
        </w:rPr>
        <w:t>stellenden nutzen, Reiseausweise Geflüchteter als Identitätsnachweis akzeptieren und die erleic</w:t>
      </w:r>
      <w:r>
        <w:rPr>
          <w:rFonts w:asciiTheme="majorHAnsi" w:hAnsiTheme="majorHAnsi"/>
          <w:sz w:val="22"/>
        </w:rPr>
        <w:t>h</w:t>
      </w:r>
      <w:r>
        <w:rPr>
          <w:rFonts w:asciiTheme="majorHAnsi" w:hAnsiTheme="majorHAnsi"/>
          <w:sz w:val="22"/>
        </w:rPr>
        <w:t>terte Einbürgerung Staatenloser und Geflüchteter konsequent umsetzen. Mit der Prüfung der A</w:t>
      </w:r>
      <w:r>
        <w:rPr>
          <w:rFonts w:asciiTheme="majorHAnsi" w:hAnsiTheme="majorHAnsi"/>
          <w:sz w:val="22"/>
        </w:rPr>
        <w:t>n</w:t>
      </w:r>
      <w:r>
        <w:rPr>
          <w:rFonts w:asciiTheme="majorHAnsi" w:hAnsiTheme="majorHAnsi"/>
          <w:sz w:val="22"/>
        </w:rPr>
        <w:t>träge darf</w:t>
      </w:r>
      <w:r>
        <w:rPr>
          <w:rFonts w:asciiTheme="majorHAnsi" w:hAnsiTheme="majorHAnsi"/>
          <w:sz w:val="22"/>
        </w:rPr>
        <w:t xml:space="preserve"> nicht erst dann begonnen werden, wenn die geforderte Aufenthaltsdauer erreicht ist. </w:t>
      </w:r>
    </w:p>
    <w:p w14:paraId="4DE777B3" w14:textId="77777777" w:rsidR="00B40F12" w:rsidRPr="00D97422" w:rsidRDefault="00D97422">
      <w:pPr>
        <w:pStyle w:val="HTMLVorformatiert"/>
        <w:widowControl/>
        <w:numPr>
          <w:ilvl w:val="0"/>
          <w:numId w:val="3"/>
        </w:numPr>
        <w:spacing w:before="16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Berlin muss sich beim Bund für Erleichterungen der Einbürgerung einsetzen, die Senkung der Gebühren, die Zulassung der doppelten Staatsbürgerschaft, die Verkürzung der ge</w:t>
      </w:r>
      <w:r>
        <w:rPr>
          <w:rFonts w:asciiTheme="majorHAnsi" w:hAnsiTheme="majorHAnsi"/>
          <w:sz w:val="22"/>
        </w:rPr>
        <w:t>forderten Aufen</w:t>
      </w:r>
      <w:r>
        <w:rPr>
          <w:rFonts w:asciiTheme="majorHAnsi" w:hAnsiTheme="majorHAnsi"/>
          <w:sz w:val="22"/>
        </w:rPr>
        <w:t>t</w:t>
      </w:r>
      <w:r>
        <w:rPr>
          <w:rFonts w:asciiTheme="majorHAnsi" w:hAnsiTheme="majorHAnsi"/>
          <w:sz w:val="22"/>
        </w:rPr>
        <w:t xml:space="preserve">haltsdauer </w:t>
      </w:r>
      <w:bookmarkStart w:id="30" w:name="_GoBack"/>
      <w:bookmarkEnd w:id="30"/>
      <w:r>
        <w:rPr>
          <w:rFonts w:asciiTheme="majorHAnsi" w:hAnsiTheme="majorHAnsi"/>
          <w:sz w:val="22"/>
        </w:rPr>
        <w:t xml:space="preserve">und die Anrechnung von Aufenthaltszeiten mit Duldung und im Asylverfahren. </w:t>
      </w:r>
    </w:p>
    <w:sectPr w:rsidR="00B40F12" w:rsidRPr="00D97422">
      <w:pgSz w:w="11906" w:h="16838"/>
      <w:pgMar w:top="1304" w:right="1134" w:bottom="1134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1" w:usb1="080E0000" w:usb2="00000010" w:usb3="00000000" w:csb0="00040000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porate S Pro">
    <w:altName w:val="Courier New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81FAA"/>
    <w:multiLevelType w:val="multilevel"/>
    <w:tmpl w:val="FE0CD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77B7093"/>
    <w:multiLevelType w:val="multilevel"/>
    <w:tmpl w:val="223CB4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D25D07"/>
    <w:multiLevelType w:val="multilevel"/>
    <w:tmpl w:val="42AC5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2"/>
    <w:rsid w:val="00B40F12"/>
    <w:rsid w:val="00D9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8BB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4BBA"/>
    <w:pPr>
      <w:widowControl w:val="0"/>
      <w:suppressAutoHyphens/>
    </w:pPr>
    <w:rPr>
      <w:rFonts w:ascii="Times New Roman" w:eastAsia="SimSun" w:hAnsi="Times New Roman" w:cs="Britannic Bold"/>
      <w:lang w:bidi="hi-IN"/>
    </w:rPr>
  </w:style>
  <w:style w:type="paragraph" w:styleId="berschrift1">
    <w:name w:val="heading 1"/>
    <w:basedOn w:val="Standard"/>
    <w:next w:val="Standard"/>
    <w:qFormat/>
    <w:rsid w:val="00E54BBA"/>
    <w:pPr>
      <w:keepNext/>
      <w:numPr>
        <w:numId w:val="1"/>
      </w:numPr>
      <w:suppressAutoHyphens w:val="0"/>
      <w:jc w:val="center"/>
      <w:outlineLvl w:val="0"/>
    </w:pPr>
    <w:rPr>
      <w:rFonts w:ascii="Britannic Bold" w:hAnsi="Britannic Bold"/>
      <w:sz w:val="52"/>
    </w:rPr>
  </w:style>
  <w:style w:type="paragraph" w:styleId="berschrift2">
    <w:name w:val="heading 2"/>
    <w:basedOn w:val="Standard"/>
    <w:next w:val="Standard"/>
    <w:autoRedefine/>
    <w:qFormat/>
    <w:rsid w:val="00E54BBA"/>
    <w:pPr>
      <w:numPr>
        <w:ilvl w:val="1"/>
        <w:numId w:val="1"/>
      </w:numPr>
      <w:tabs>
        <w:tab w:val="center" w:pos="4896"/>
        <w:tab w:val="right" w:pos="9432"/>
      </w:tabs>
      <w:suppressAutoHyphens w:val="0"/>
      <w:spacing w:before="120"/>
      <w:outlineLvl w:val="1"/>
    </w:pPr>
    <w:rPr>
      <w:rFonts w:ascii="Calibri" w:hAnsi="Calibri" w:cs="Arial"/>
      <w:b/>
      <w:bCs/>
      <w:color w:val="000090"/>
      <w:sz w:val="26"/>
      <w:szCs w:val="26"/>
    </w:rPr>
  </w:style>
  <w:style w:type="paragraph" w:styleId="berschrift3">
    <w:name w:val="heading 3"/>
    <w:basedOn w:val="Standard"/>
    <w:next w:val="Standard"/>
    <w:qFormat/>
    <w:rsid w:val="00E54BBA"/>
    <w:pPr>
      <w:keepNext/>
      <w:suppressAutoHyphens w:val="0"/>
      <w:spacing w:before="80"/>
      <w:outlineLvl w:val="2"/>
    </w:pPr>
    <w:rPr>
      <w:rFonts w:ascii="Arial" w:hAnsi="Arial"/>
      <w:b/>
      <w:sz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qFormat/>
    <w:rsid w:val="00E54BBA"/>
    <w:rPr>
      <w:rFonts w:ascii="Britannic Bold" w:eastAsia="SimSun" w:hAnsi="Britannic Bold" w:cs="Britannic Bold"/>
      <w:sz w:val="52"/>
      <w:lang w:bidi="hi-IN"/>
    </w:rPr>
  </w:style>
  <w:style w:type="character" w:customStyle="1" w:styleId="berschrift2Zeichen">
    <w:name w:val="Überschrift 2 Zeichen"/>
    <w:basedOn w:val="Absatzstandardschriftart"/>
    <w:qFormat/>
    <w:rsid w:val="00E54BBA"/>
    <w:rPr>
      <w:rFonts w:ascii="Calibri" w:eastAsia="SimSun" w:hAnsi="Calibri" w:cs="Arial"/>
      <w:b/>
      <w:bCs/>
      <w:color w:val="000090"/>
      <w:sz w:val="26"/>
      <w:szCs w:val="26"/>
      <w:lang w:bidi="hi-IN"/>
    </w:rPr>
  </w:style>
  <w:style w:type="character" w:customStyle="1" w:styleId="berschrift3Zeichen">
    <w:name w:val="Überschrift 3 Zeichen"/>
    <w:basedOn w:val="Absatzstandardschriftart"/>
    <w:qFormat/>
    <w:rsid w:val="00E54BBA"/>
    <w:rPr>
      <w:rFonts w:ascii="Arial" w:eastAsia="SimSun" w:hAnsi="Arial" w:cs="Britannic Bold"/>
      <w:b/>
      <w:sz w:val="20"/>
      <w:lang w:bidi="hi-IN"/>
    </w:rPr>
  </w:style>
  <w:style w:type="character" w:customStyle="1" w:styleId="HTMLVorformatiertZeichen">
    <w:name w:val="HTML Vorformatiert Zeichen"/>
    <w:basedOn w:val="Absatzstandardschriftart"/>
    <w:link w:val="HTMLVorformatiert"/>
    <w:qFormat/>
    <w:rsid w:val="00E54BBA"/>
    <w:rPr>
      <w:rFonts w:ascii="Courier New" w:eastAsia="SimSun" w:hAnsi="Courier New" w:cs="Wingdings"/>
      <w:sz w:val="20"/>
      <w:lang w:bidi="hi-IN"/>
    </w:rPr>
  </w:style>
  <w:style w:type="character" w:customStyle="1" w:styleId="FlietextZchn">
    <w:name w:val="Fließtext Zchn"/>
    <w:basedOn w:val="Absatzstandardschriftart"/>
    <w:link w:val="Flietext"/>
    <w:qFormat/>
    <w:rsid w:val="00E54BBA"/>
    <w:rPr>
      <w:rFonts w:ascii="Corporate S Pro" w:eastAsiaTheme="minorHAnsi" w:hAnsi="Corporate S Pro"/>
      <w:sz w:val="22"/>
      <w:szCs w:val="22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Internetlink">
    <w:name w:val="Internetlink"/>
    <w:rPr>
      <w:color w:val="000080"/>
      <w:u w:val="single"/>
      <w:lang w:val="uz-Cyrl-UZ" w:eastAsia="uz-Cyrl-UZ" w:bidi="uz-Cyrl-UZ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HTMLVorformatiert">
    <w:name w:val="HTML Preformatted"/>
    <w:basedOn w:val="Standard"/>
    <w:link w:val="HTMLVorformatiertZeichen"/>
    <w:qFormat/>
    <w:rsid w:val="00E54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76" w:lineRule="auto"/>
    </w:pPr>
    <w:rPr>
      <w:rFonts w:ascii="Courier New" w:hAnsi="Courier New" w:cs="Wingdings"/>
      <w:sz w:val="20"/>
    </w:rPr>
  </w:style>
  <w:style w:type="paragraph" w:customStyle="1" w:styleId="WW-Textkrper2">
    <w:name w:val="WW-Textkörper 2"/>
    <w:basedOn w:val="Standard"/>
    <w:qFormat/>
    <w:rsid w:val="00E54BBA"/>
    <w:pPr>
      <w:suppressAutoHyphens w:val="0"/>
    </w:pPr>
    <w:rPr>
      <w:rFonts w:ascii="Arial" w:hAnsi="Arial"/>
      <w:b/>
    </w:rPr>
  </w:style>
  <w:style w:type="paragraph" w:styleId="Listenabsatz">
    <w:name w:val="List Paragraph"/>
    <w:basedOn w:val="Standard"/>
    <w:uiPriority w:val="34"/>
    <w:qFormat/>
    <w:rsid w:val="00E54BBA"/>
    <w:pPr>
      <w:ind w:left="720"/>
      <w:contextualSpacing/>
    </w:pPr>
  </w:style>
  <w:style w:type="paragraph" w:customStyle="1" w:styleId="Flietext">
    <w:name w:val="Fließtext"/>
    <w:basedOn w:val="Standard"/>
    <w:link w:val="FlietextZchn"/>
    <w:qFormat/>
    <w:rsid w:val="00E54BBA"/>
    <w:pPr>
      <w:widowControl/>
      <w:suppressAutoHyphens w:val="0"/>
      <w:spacing w:after="160" w:line="259" w:lineRule="auto"/>
      <w:jc w:val="both"/>
    </w:pPr>
    <w:rPr>
      <w:rFonts w:ascii="Corporate S Pro" w:eastAsiaTheme="minorHAnsi" w:hAnsi="Corporate S Pro" w:cstheme="minorBidi"/>
      <w:sz w:val="22"/>
      <w:szCs w:val="22"/>
      <w:lang w:eastAsia="en-US" w:bidi="ar-SA"/>
    </w:rPr>
  </w:style>
  <w:style w:type="paragraph" w:customStyle="1" w:styleId="Quotations">
    <w:name w:val="Quotations"/>
    <w:basedOn w:val="Standard"/>
    <w:qFormat/>
  </w:style>
  <w:style w:type="paragraph" w:styleId="Titel">
    <w:name w:val="Title"/>
    <w:basedOn w:val="berschrift"/>
  </w:style>
  <w:style w:type="paragraph" w:styleId="Untertitel">
    <w:name w:val="Subtitle"/>
    <w:basedOn w:val="berschrif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4BBA"/>
    <w:pPr>
      <w:widowControl w:val="0"/>
      <w:suppressAutoHyphens/>
    </w:pPr>
    <w:rPr>
      <w:rFonts w:ascii="Times New Roman" w:eastAsia="SimSun" w:hAnsi="Times New Roman" w:cs="Britannic Bold"/>
      <w:lang w:bidi="hi-IN"/>
    </w:rPr>
  </w:style>
  <w:style w:type="paragraph" w:styleId="berschrift1">
    <w:name w:val="heading 1"/>
    <w:basedOn w:val="Standard"/>
    <w:next w:val="Standard"/>
    <w:qFormat/>
    <w:rsid w:val="00E54BBA"/>
    <w:pPr>
      <w:keepNext/>
      <w:numPr>
        <w:numId w:val="1"/>
      </w:numPr>
      <w:suppressAutoHyphens w:val="0"/>
      <w:jc w:val="center"/>
      <w:outlineLvl w:val="0"/>
    </w:pPr>
    <w:rPr>
      <w:rFonts w:ascii="Britannic Bold" w:hAnsi="Britannic Bold"/>
      <w:sz w:val="52"/>
    </w:rPr>
  </w:style>
  <w:style w:type="paragraph" w:styleId="berschrift2">
    <w:name w:val="heading 2"/>
    <w:basedOn w:val="Standard"/>
    <w:next w:val="Standard"/>
    <w:autoRedefine/>
    <w:qFormat/>
    <w:rsid w:val="00E54BBA"/>
    <w:pPr>
      <w:numPr>
        <w:ilvl w:val="1"/>
        <w:numId w:val="1"/>
      </w:numPr>
      <w:tabs>
        <w:tab w:val="center" w:pos="4896"/>
        <w:tab w:val="right" w:pos="9432"/>
      </w:tabs>
      <w:suppressAutoHyphens w:val="0"/>
      <w:spacing w:before="120"/>
      <w:outlineLvl w:val="1"/>
    </w:pPr>
    <w:rPr>
      <w:rFonts w:ascii="Calibri" w:hAnsi="Calibri" w:cs="Arial"/>
      <w:b/>
      <w:bCs/>
      <w:color w:val="000090"/>
      <w:sz w:val="26"/>
      <w:szCs w:val="26"/>
    </w:rPr>
  </w:style>
  <w:style w:type="paragraph" w:styleId="berschrift3">
    <w:name w:val="heading 3"/>
    <w:basedOn w:val="Standard"/>
    <w:next w:val="Standard"/>
    <w:qFormat/>
    <w:rsid w:val="00E54BBA"/>
    <w:pPr>
      <w:keepNext/>
      <w:suppressAutoHyphens w:val="0"/>
      <w:spacing w:before="80"/>
      <w:outlineLvl w:val="2"/>
    </w:pPr>
    <w:rPr>
      <w:rFonts w:ascii="Arial" w:hAnsi="Arial"/>
      <w:b/>
      <w:sz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qFormat/>
    <w:rsid w:val="00E54BBA"/>
    <w:rPr>
      <w:rFonts w:ascii="Britannic Bold" w:eastAsia="SimSun" w:hAnsi="Britannic Bold" w:cs="Britannic Bold"/>
      <w:sz w:val="52"/>
      <w:lang w:bidi="hi-IN"/>
    </w:rPr>
  </w:style>
  <w:style w:type="character" w:customStyle="1" w:styleId="berschrift2Zeichen">
    <w:name w:val="Überschrift 2 Zeichen"/>
    <w:basedOn w:val="Absatzstandardschriftart"/>
    <w:qFormat/>
    <w:rsid w:val="00E54BBA"/>
    <w:rPr>
      <w:rFonts w:ascii="Calibri" w:eastAsia="SimSun" w:hAnsi="Calibri" w:cs="Arial"/>
      <w:b/>
      <w:bCs/>
      <w:color w:val="000090"/>
      <w:sz w:val="26"/>
      <w:szCs w:val="26"/>
      <w:lang w:bidi="hi-IN"/>
    </w:rPr>
  </w:style>
  <w:style w:type="character" w:customStyle="1" w:styleId="berschrift3Zeichen">
    <w:name w:val="Überschrift 3 Zeichen"/>
    <w:basedOn w:val="Absatzstandardschriftart"/>
    <w:qFormat/>
    <w:rsid w:val="00E54BBA"/>
    <w:rPr>
      <w:rFonts w:ascii="Arial" w:eastAsia="SimSun" w:hAnsi="Arial" w:cs="Britannic Bold"/>
      <w:b/>
      <w:sz w:val="20"/>
      <w:lang w:bidi="hi-IN"/>
    </w:rPr>
  </w:style>
  <w:style w:type="character" w:customStyle="1" w:styleId="HTMLVorformatiertZeichen">
    <w:name w:val="HTML Vorformatiert Zeichen"/>
    <w:basedOn w:val="Absatzstandardschriftart"/>
    <w:link w:val="HTMLVorformatiert"/>
    <w:qFormat/>
    <w:rsid w:val="00E54BBA"/>
    <w:rPr>
      <w:rFonts w:ascii="Courier New" w:eastAsia="SimSun" w:hAnsi="Courier New" w:cs="Wingdings"/>
      <w:sz w:val="20"/>
      <w:lang w:bidi="hi-IN"/>
    </w:rPr>
  </w:style>
  <w:style w:type="character" w:customStyle="1" w:styleId="FlietextZchn">
    <w:name w:val="Fließtext Zchn"/>
    <w:basedOn w:val="Absatzstandardschriftart"/>
    <w:link w:val="Flietext"/>
    <w:qFormat/>
    <w:rsid w:val="00E54BBA"/>
    <w:rPr>
      <w:rFonts w:ascii="Corporate S Pro" w:eastAsiaTheme="minorHAnsi" w:hAnsi="Corporate S Pro"/>
      <w:sz w:val="22"/>
      <w:szCs w:val="22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Internetlink">
    <w:name w:val="Internetlink"/>
    <w:rPr>
      <w:color w:val="000080"/>
      <w:u w:val="single"/>
      <w:lang w:val="uz-Cyrl-UZ" w:eastAsia="uz-Cyrl-UZ" w:bidi="uz-Cyrl-UZ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HTMLVorformatiert">
    <w:name w:val="HTML Preformatted"/>
    <w:basedOn w:val="Standard"/>
    <w:link w:val="HTMLVorformatiertZeichen"/>
    <w:qFormat/>
    <w:rsid w:val="00E54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76" w:lineRule="auto"/>
    </w:pPr>
    <w:rPr>
      <w:rFonts w:ascii="Courier New" w:hAnsi="Courier New" w:cs="Wingdings"/>
      <w:sz w:val="20"/>
    </w:rPr>
  </w:style>
  <w:style w:type="paragraph" w:customStyle="1" w:styleId="WW-Textkrper2">
    <w:name w:val="WW-Textkörper 2"/>
    <w:basedOn w:val="Standard"/>
    <w:qFormat/>
    <w:rsid w:val="00E54BBA"/>
    <w:pPr>
      <w:suppressAutoHyphens w:val="0"/>
    </w:pPr>
    <w:rPr>
      <w:rFonts w:ascii="Arial" w:hAnsi="Arial"/>
      <w:b/>
    </w:rPr>
  </w:style>
  <w:style w:type="paragraph" w:styleId="Listenabsatz">
    <w:name w:val="List Paragraph"/>
    <w:basedOn w:val="Standard"/>
    <w:uiPriority w:val="34"/>
    <w:qFormat/>
    <w:rsid w:val="00E54BBA"/>
    <w:pPr>
      <w:ind w:left="720"/>
      <w:contextualSpacing/>
    </w:pPr>
  </w:style>
  <w:style w:type="paragraph" w:customStyle="1" w:styleId="Flietext">
    <w:name w:val="Fließtext"/>
    <w:basedOn w:val="Standard"/>
    <w:link w:val="FlietextZchn"/>
    <w:qFormat/>
    <w:rsid w:val="00E54BBA"/>
    <w:pPr>
      <w:widowControl/>
      <w:suppressAutoHyphens w:val="0"/>
      <w:spacing w:after="160" w:line="259" w:lineRule="auto"/>
      <w:jc w:val="both"/>
    </w:pPr>
    <w:rPr>
      <w:rFonts w:ascii="Corporate S Pro" w:eastAsiaTheme="minorHAnsi" w:hAnsi="Corporate S Pro" w:cstheme="minorBidi"/>
      <w:sz w:val="22"/>
      <w:szCs w:val="22"/>
      <w:lang w:eastAsia="en-US" w:bidi="ar-SA"/>
    </w:rPr>
  </w:style>
  <w:style w:type="paragraph" w:customStyle="1" w:styleId="Quotations">
    <w:name w:val="Quotations"/>
    <w:basedOn w:val="Standard"/>
    <w:qFormat/>
  </w:style>
  <w:style w:type="paragraph" w:styleId="Titel">
    <w:name w:val="Title"/>
    <w:basedOn w:val="berschrift"/>
  </w:style>
  <w:style w:type="paragraph" w:styleId="Untertitel">
    <w:name w:val="Subtitle"/>
    <w:basedOn w:val="berschrif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luechtlingsrat-berlin.de/fr_newsletter_feb2021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3595</Words>
  <Characters>25028</Characters>
  <Application>Microsoft Macintosh Word</Application>
  <DocSecurity>0</DocSecurity>
  <Lines>410</Lines>
  <Paragraphs>182</Paragraphs>
  <ScaleCrop>false</ScaleCrop>
  <Company/>
  <LinksUpToDate>false</LinksUpToDate>
  <CharactersWithSpaces>28441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***</cp:lastModifiedBy>
  <cp:revision>5</cp:revision>
  <cp:lastPrinted>2021-10-06T12:42:00Z</cp:lastPrinted>
  <dcterms:created xsi:type="dcterms:W3CDTF">2021-10-06T12:34:00Z</dcterms:created>
  <dcterms:modified xsi:type="dcterms:W3CDTF">2021-10-06T12:48:00Z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